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6"/>
        <w:spacing w:line="760" w:lineRule="exact"/>
        <w:rPr>
          <w:rFonts w:ascii="宋体" w:eastAsia="宋体"/>
          <w:color w:val="auto"/>
          <w:sz w:val="48"/>
          <w:szCs w:val="48"/>
          <w:highlight w:val="none"/>
        </w:rPr>
      </w:pPr>
    </w:p>
    <w:p>
      <w:pPr>
        <w:pStyle w:val="966"/>
        <w:spacing w:line="760" w:lineRule="exact"/>
        <w:rPr>
          <w:rFonts w:ascii="宋体" w:eastAsia="宋体"/>
          <w:color w:val="auto"/>
          <w:sz w:val="48"/>
          <w:szCs w:val="48"/>
          <w:highlight w:val="none"/>
        </w:rPr>
      </w:pPr>
      <w:r>
        <w:rPr>
          <w:rFonts w:hint="eastAsia" w:ascii="宋体" w:eastAsia="宋体"/>
          <w:color w:val="auto"/>
          <w:sz w:val="44"/>
          <w:szCs w:val="44"/>
          <w:highlight w:val="none"/>
          <w:lang w:eastAsia="zh-CN"/>
        </w:rPr>
        <w:t>萧山三职外教进校园服务</w:t>
      </w:r>
      <w:r>
        <w:rPr>
          <w:rFonts w:hint="eastAsia" w:ascii="宋体" w:eastAsia="宋体"/>
          <w:color w:val="auto"/>
          <w:sz w:val="44"/>
          <w:szCs w:val="44"/>
          <w:highlight w:val="none"/>
        </w:rPr>
        <w:t>采购项目</w:t>
      </w:r>
    </w:p>
    <w:p>
      <w:pPr>
        <w:adjustRightInd/>
        <w:spacing w:line="360" w:lineRule="auto"/>
        <w:jc w:val="center"/>
        <w:rPr>
          <w:rFonts w:ascii="宋体" w:hAnsi="宋体" w:cs="宋体"/>
          <w:b/>
          <w:color w:val="auto"/>
          <w:spacing w:val="-23"/>
          <w:sz w:val="52"/>
          <w:szCs w:val="52"/>
          <w:highlight w:val="none"/>
        </w:rPr>
      </w:pPr>
    </w:p>
    <w:p>
      <w:pPr>
        <w:pStyle w:val="25"/>
        <w:rPr>
          <w:rFonts w:hAnsi="宋体" w:cs="宋体"/>
          <w:b/>
          <w:bCs/>
          <w:color w:val="auto"/>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交易编号：BWZB2022-GK-125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rPr>
          <w:rFonts w:ascii="宋体" w:hAnsi="宋体" w:cs="宋体"/>
          <w:color w:val="auto"/>
          <w:sz w:val="24"/>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rPr>
        <w:t>交 易 人：</w:t>
      </w:r>
      <w:r>
        <w:rPr>
          <w:rFonts w:hint="eastAsia" w:ascii="宋体" w:hAnsi="宋体" w:cs="宋体"/>
          <w:b/>
          <w:color w:val="auto"/>
          <w:spacing w:val="45"/>
          <w:sz w:val="32"/>
          <w:szCs w:val="30"/>
          <w:highlight w:val="none"/>
          <w:lang w:eastAsia="zh-CN"/>
        </w:rPr>
        <w:t>杭州市萧山区第三中等职业学</w:t>
      </w:r>
      <w:r>
        <w:rPr>
          <w:rFonts w:hint="eastAsia" w:ascii="宋体" w:hAnsi="宋体" w:cs="宋体"/>
          <w:b/>
          <w:color w:val="auto"/>
          <w:spacing w:val="0"/>
          <w:sz w:val="32"/>
          <w:szCs w:val="30"/>
          <w:highlight w:val="none"/>
          <w:lang w:eastAsia="zh-CN"/>
        </w:rPr>
        <w:t>校</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0"/>
          <w:highlight w:val="none"/>
        </w:rPr>
        <w:t xml:space="preserve"> 采购机构：杭州博望建设工程招标投标代理有限公司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二〇二二年九月</w:t>
      </w:r>
      <w:r>
        <w:rPr>
          <w:rFonts w:hint="eastAsia" w:ascii="宋体" w:hAnsi="宋体" w:cs="宋体"/>
          <w:b/>
          <w:color w:val="auto"/>
          <w:sz w:val="32"/>
          <w:szCs w:val="32"/>
          <w:highlight w:val="none"/>
          <w:lang w:val="en-US" w:eastAsia="zh-CN"/>
        </w:rPr>
        <w:t>二十八</w:t>
      </w:r>
      <w:r>
        <w:rPr>
          <w:rFonts w:hint="eastAsia" w:ascii="宋体" w:hAnsi="宋体" w:cs="宋体"/>
          <w:b/>
          <w:color w:val="auto"/>
          <w:sz w:val="32"/>
          <w:szCs w:val="32"/>
          <w:highlight w:val="none"/>
        </w:rPr>
        <w:t>日</w:t>
      </w:r>
    </w:p>
    <w:p>
      <w:pPr>
        <w:pStyle w:val="25"/>
        <w:rPr>
          <w:rFonts w:hAnsi="宋体" w:cs="宋体"/>
          <w:color w:val="auto"/>
          <w:highlight w:val="none"/>
        </w:rPr>
      </w:pPr>
    </w:p>
    <w:p>
      <w:pPr>
        <w:pStyle w:val="26"/>
        <w:rPr>
          <w:rFonts w:hAnsi="宋体" w:cs="宋体"/>
          <w:color w:val="auto"/>
          <w:highlight w:val="none"/>
        </w:rPr>
      </w:pPr>
    </w:p>
    <w:p>
      <w:pPr>
        <w:pStyle w:val="52"/>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BWZB2022-GK-125</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交易名称：</w:t>
      </w:r>
      <w:r>
        <w:rPr>
          <w:rFonts w:hint="eastAsia" w:ascii="宋体" w:hAnsi="宋体" w:cs="宋体"/>
          <w:color w:val="auto"/>
          <w:sz w:val="24"/>
          <w:highlight w:val="none"/>
          <w:lang w:eastAsia="zh-CN"/>
        </w:rPr>
        <w:t>萧山三职外教进校园服务</w:t>
      </w:r>
      <w:r>
        <w:rPr>
          <w:rFonts w:hint="eastAsia" w:ascii="宋体" w:hAnsi="宋体" w:cs="宋体"/>
          <w:color w:val="auto"/>
          <w:sz w:val="24"/>
          <w:highlight w:val="none"/>
        </w:rPr>
        <w:t>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pStyle w:val="4"/>
        <w:spacing w:line="360" w:lineRule="auto"/>
        <w:ind w:firstLine="482" w:firstLineChars="200"/>
        <w:rPr>
          <w:rFonts w:hAnsi="宋体" w:cs="宋体"/>
          <w:b/>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lang w:eastAsia="zh-CN"/>
        </w:rPr>
        <w:t>萧山三职外教进校园服务</w:t>
      </w:r>
      <w:r>
        <w:rPr>
          <w:rFonts w:hint="eastAsia" w:hAnsi="宋体" w:cs="宋体"/>
          <w:color w:val="auto"/>
          <w:sz w:val="24"/>
          <w:highlight w:val="none"/>
        </w:rPr>
        <w:t>，1项，详见交易需求</w:t>
      </w:r>
    </w:p>
    <w:p>
      <w:pPr>
        <w:pStyle w:val="4"/>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详见交易文件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26"/>
        <w:ind w:firstLine="480" w:firstLineChars="200"/>
        <w:rPr>
          <w:rFonts w:hint="default" w:hAnsi="宋体" w:cs="宋体"/>
          <w:color w:val="auto"/>
          <w:sz w:val="24"/>
          <w:highlight w:val="none"/>
          <w:lang w:val="en-US" w:eastAsia="zh-CN"/>
        </w:rPr>
      </w:pPr>
      <w:r>
        <w:rPr>
          <w:rFonts w:hint="eastAsia" w:hAnsi="宋体" w:cs="宋体"/>
          <w:color w:val="auto"/>
          <w:highlight w:val="none"/>
        </w:rPr>
        <w:t>7、</w:t>
      </w:r>
      <w:r>
        <w:rPr>
          <w:rFonts w:hint="eastAsia" w:ascii="宋体" w:hAnsi="宋体" w:cs="宋体"/>
          <w:color w:val="auto"/>
          <w:sz w:val="24"/>
          <w:highlight w:val="none"/>
        </w:rPr>
        <w:t>本项目的特定资格要求</w:t>
      </w:r>
      <w:r>
        <w:rPr>
          <w:rFonts w:hint="eastAsia" w:hAnsi="宋体" w:cs="宋体"/>
          <w:color w:val="auto"/>
          <w:sz w:val="24"/>
          <w:highlight w:val="none"/>
          <w:lang w:eastAsia="zh-CN"/>
        </w:rPr>
        <w:t>：</w:t>
      </w:r>
      <w:r>
        <w:rPr>
          <w:rFonts w:hint="eastAsia" w:hAnsi="宋体" w:cs="宋体"/>
          <w:color w:val="auto"/>
          <w:sz w:val="24"/>
          <w:highlight w:val="none"/>
          <w:lang w:val="en-US" w:eastAsia="zh-CN"/>
        </w:rPr>
        <w:t>具有劳务派遣经营许可证、人力资源服务许可证；</w:t>
      </w:r>
    </w:p>
    <w:p>
      <w:pPr>
        <w:pStyle w:val="26"/>
        <w:ind w:firstLine="480" w:firstLineChars="200"/>
        <w:rPr>
          <w:rFonts w:hAnsi="宋体" w:cs="宋体"/>
          <w:color w:val="auto"/>
          <w:highlight w:val="none"/>
          <w:lang w:val="en-US"/>
        </w:rPr>
      </w:pPr>
      <w:r>
        <w:rPr>
          <w:rFonts w:hint="eastAsia" w:hAnsi="宋体" w:cs="宋体"/>
          <w:color w:val="auto"/>
          <w:sz w:val="24"/>
          <w:highlight w:val="none"/>
          <w:lang w:val="en-US" w:eastAsia="zh-CN"/>
        </w:rPr>
        <w:t>8、</w:t>
      </w:r>
      <w:r>
        <w:rPr>
          <w:rFonts w:hint="eastAsia" w:hAnsi="宋体" w:cs="宋体"/>
          <w:color w:val="auto"/>
          <w:highlight w:val="none"/>
        </w:rPr>
        <w:t>本项目不接受联合体参与（潜在供应商能独立完成本项目）</w:t>
      </w:r>
      <w:r>
        <w:rPr>
          <w:rFonts w:hint="eastAsia" w:hAnsi="宋体" w:cs="宋体"/>
          <w:color w:val="auto"/>
          <w:highlight w:val="none"/>
          <w:lang w:val="en-US"/>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1.供应商认为交易文件使自己的权益受到损害的，可以自获取交易文件之日起3个工作日内，以书面形式向交易人和采购代理机构提出质疑。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六、联系方式</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杭州市萧山区第三中等职业学校</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杭州市萧山区临浦镇东藩南路99号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项目联系人（询问）：王军</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项目联系方式（询问）：0571-82479333</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采购机构信息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传真：0571-83881208</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A不适用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B使用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（1）资格证明文件：见交易文件第二部分10.1。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交易报价超过交易文件中规定的预算金额或者最高限价的；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rPr>
                <w:rFonts w:ascii="宋体" w:hAnsi="宋体" w:cs="宋体"/>
                <w:color w:val="auto"/>
                <w:kern w:val="0"/>
                <w:sz w:val="24"/>
                <w:highlight w:val="none"/>
                <w:lang w:val="zh-CN"/>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4"/>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eastAsia="宋体" w:cs="宋体"/>
                <w:b w:val="0"/>
                <w:bCs/>
                <w:color w:val="auto"/>
                <w:kern w:val="0"/>
                <w:sz w:val="24"/>
                <w:highlight w:val="none"/>
                <w:lang w:eastAsia="zh-CN"/>
              </w:rPr>
              <w:t>成交</w:t>
            </w:r>
            <w:r>
              <w:rPr>
                <w:rFonts w:hint="eastAsia" w:ascii="宋体" w:hAnsi="宋体" w:eastAsia="宋体" w:cs="宋体"/>
                <w:b w:val="0"/>
                <w:bCs/>
                <w:color w:val="auto"/>
                <w:kern w:val="0"/>
                <w:sz w:val="24"/>
                <w:highlight w:val="none"/>
                <w:lang w:val="zh-CN" w:eastAsia="zh-CN"/>
              </w:rPr>
              <w:t>人支付。</w:t>
            </w:r>
            <w:r>
              <w:rPr>
                <w:rFonts w:hint="eastAsia" w:ascii="宋体" w:hAnsi="宋体" w:eastAsia="宋体" w:cs="宋体"/>
                <w:b w:val="0"/>
                <w:bCs/>
                <w:color w:val="auto"/>
                <w:kern w:val="0"/>
                <w:sz w:val="24"/>
                <w:highlight w:val="none"/>
                <w:lang w:eastAsia="zh-CN"/>
              </w:rPr>
              <w:t>本次代理服务费按国家发展计划委员会的计价格[2002]1980号文件收费标准下浮20%结算收取，不足</w:t>
            </w:r>
            <w:r>
              <w:rPr>
                <w:rFonts w:hint="eastAsia" w:ascii="宋体" w:hAnsi="宋体" w:eastAsia="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eastAsia="zh-CN"/>
              </w:rPr>
              <w:t>000.00元按</w:t>
            </w:r>
            <w:r>
              <w:rPr>
                <w:rFonts w:hint="eastAsia" w:ascii="宋体" w:hAnsi="宋体" w:eastAsia="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eastAsia="zh-CN"/>
              </w:rPr>
              <w:t>000.00元收取。</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服务费缴纳账号：</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开户银行：上海浦东发展银行萧山支行</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帐户名称：杭州博望建设工程招标投标代理有限公司</w:t>
            </w:r>
          </w:p>
          <w:p>
            <w:pPr>
              <w:snapToGrid w:val="0"/>
              <w:spacing w:line="240" w:lineRule="auto"/>
              <w:rPr>
                <w:rFonts w:ascii="宋体" w:hAnsi="宋体" w:cs="宋体"/>
                <w:bCs/>
                <w:color w:val="auto"/>
                <w:kern w:val="0"/>
                <w:sz w:val="24"/>
                <w:highlight w:val="none"/>
              </w:rPr>
            </w:pPr>
            <w:r>
              <w:rPr>
                <w:rFonts w:hint="eastAsia" w:ascii="宋体" w:hAnsi="宋体" w:eastAsia="宋体" w:cs="宋体"/>
                <w:b w:val="0"/>
                <w:bCs/>
                <w:color w:val="auto"/>
                <w:kern w:val="0"/>
                <w:sz w:val="24"/>
                <w:highlight w:val="none"/>
                <w:lang w:eastAsia="zh-CN"/>
              </w:rPr>
              <w:t>银行帐号：95070154740001005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交易人质疑接收人：陈登峰 联系方式：</w:t>
            </w:r>
            <w:r>
              <w:rPr>
                <w:rFonts w:hint="eastAsia" w:ascii="宋体" w:hAnsi="宋体" w:cs="宋体"/>
                <w:color w:val="auto"/>
                <w:sz w:val="24"/>
                <w:szCs w:val="28"/>
                <w:highlight w:val="none"/>
              </w:rPr>
              <w:t>0571-82479338</w:t>
            </w:r>
          </w:p>
          <w:p>
            <w:pP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杭州市萧山区临浦镇东藩南路99号</w:t>
            </w:r>
          </w:p>
          <w:p>
            <w:pPr>
              <w:snapToGrid w:val="0"/>
              <w:rPr>
                <w:rFonts w:ascii="宋体" w:hAnsi="宋体" w:cs="宋体"/>
                <w:color w:val="auto"/>
                <w:sz w:val="24"/>
                <w:highlight w:val="none"/>
              </w:rPr>
            </w:pPr>
            <w:r>
              <w:rPr>
                <w:rFonts w:hint="eastAsia" w:ascii="宋体" w:hAnsi="宋体" w:cs="宋体"/>
                <w:color w:val="auto"/>
                <w:sz w:val="24"/>
                <w:highlight w:val="none"/>
              </w:rPr>
              <w:t>采购机构质疑接收人：高华萍 联系方式：0571-83881208</w:t>
            </w:r>
          </w:p>
          <w:p>
            <w:pPr>
              <w:snapToGrid w:val="0"/>
              <w:rPr>
                <w:rFonts w:ascii="宋体" w:hAnsi="宋体" w:cs="宋体"/>
                <w:color w:val="auto"/>
                <w:sz w:val="24"/>
                <w:highlight w:val="none"/>
              </w:rPr>
            </w:pPr>
            <w:r>
              <w:rPr>
                <w:rFonts w:hint="eastAsia" w:ascii="宋体" w:hAnsi="宋体" w:cs="宋体"/>
                <w:color w:val="auto"/>
                <w:sz w:val="24"/>
                <w:highlight w:val="none"/>
              </w:rPr>
              <w:t>地址：杭州市萧山区金城路433号天汇园一幢A座5楼</w:t>
            </w:r>
          </w:p>
          <w:p>
            <w:pPr>
              <w:tabs>
                <w:tab w:val="center" w:pos="3019"/>
              </w:tabs>
              <w:snapToGrid w:val="0"/>
              <w:rPr>
                <w:rFonts w:ascii="宋体" w:hAnsi="宋体" w:cs="宋体"/>
                <w:color w:val="auto"/>
                <w:sz w:val="24"/>
                <w:highlight w:val="none"/>
              </w:rPr>
            </w:pPr>
            <w:r>
              <w:rPr>
                <w:rFonts w:hint="eastAsia" w:ascii="宋体" w:hAnsi="宋体" w:cs="宋体"/>
                <w:color w:val="auto"/>
                <w:sz w:val="24"/>
                <w:highlight w:val="none"/>
              </w:rPr>
              <w:t>邮箱：751200605@qq.com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如通过邮箱方式发送质疑，须提交符合法规及交易文件要求的质疑文件（参考附件2），盖章扫描后发送，质疑的受理按答复主体划分以交易人或采购机构邮箱回复确认受理为准。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本项目涉及资格条件、交易需求、评分办法及交易过程中有关现场考察或开标前答疑会事项由交易人进行答复。</w:t>
            </w:r>
          </w:p>
          <w:p>
            <w:pPr>
              <w:pStyle w:val="34"/>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8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本交易文件适用于该项目的交易、响应、评审、资格审查及信用信息查询、评审、定标、合同、验收等行为（法律、法规另有规定的，从其规定）。</w:t>
      </w:r>
    </w:p>
    <w:p>
      <w:pPr>
        <w:adjustRightInd/>
        <w:spacing w:line="48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2.1“交易人”系指交易公告中载明的本项目的交易人。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2.2“采购机构”系指交易公告中载明的本项目的采购机构。</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2.3“供应商”系指是指响应招标、参加投标竞争的法人、其他组织或者自然人。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pPr>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3.询问、质疑、投诉</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.2供应商质疑</w:t>
      </w:r>
    </w:p>
    <w:p>
      <w:pPr>
        <w:pStyle w:val="34"/>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.1提出质疑的供应商应当是参与所质疑项目交易活动的供应商。潜在供应商已依法获取其可质疑的交易文件的，可以对该文件提出质疑。</w:t>
      </w:r>
    </w:p>
    <w:p>
      <w:pPr>
        <w:pStyle w:val="34"/>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pPr>
        <w:pStyle w:val="34"/>
        <w:spacing w:line="480" w:lineRule="exact"/>
        <w:ind w:firstLine="420" w:firstLineChars="175"/>
        <w:rPr>
          <w:rFonts w:hAnsi="宋体" w:cs="宋体"/>
          <w:color w:val="auto"/>
          <w:sz w:val="24"/>
          <w:highlight w:val="none"/>
        </w:rPr>
      </w:pPr>
      <w:r>
        <w:rPr>
          <w:rFonts w:hint="eastAsia" w:hAnsi="宋体" w:cs="宋体"/>
          <w:color w:val="auto"/>
          <w:sz w:val="24"/>
          <w:highlight w:val="none"/>
        </w:rPr>
        <w:t>3.2.2.1对采购过程提出质疑的，质疑期限为各采购程序环节结束之日起计算。对同一采购程序环节的质疑，供应商须一次性提出。</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.2.3.1供应商的姓名或者名称、地址、邮编、联系人及联系电话；</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.2.3.2质疑项目的名称、编号；</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.2.3.3具体、明确的质疑事项和与质疑事项相关的请求；</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4"/>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.2.3.6提出质疑的日期。</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质疑函范本及制作说明详见附件1。</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.4交易人或者采购机构应当在收到供应商的书面质疑后七个工作日内作出答复，并以书面形式通知质疑供应商和其他与质疑处理结果有利害关系的采购当事人，但答复的内容不得涉及商业秘密。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.5询问或者质疑事项可能影响交易结果的，交易人应当暂停签订合同，已经签订合同的，应当中止履行合同。</w:t>
      </w:r>
    </w:p>
    <w:p>
      <w:pPr>
        <w:pStyle w:val="889"/>
        <w:shd w:val="clear" w:color="auto" w:fill="FFFFFF"/>
        <w:snapToGrid w:val="0"/>
        <w:spacing w:after="240" w:afterAutospacing="0" w:line="48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.3供应商投诉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3.3.1质疑供应商对交易人、采购机构的答复不满意或者交易人、采购机构未在规定的时间内作出答复的，可以在答复期满后十五个工作日内向同级采购监督管理部门提出投诉。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3.3.3供应商投诉应当有明确的请求和必要的证明材料。</w:t>
      </w:r>
    </w:p>
    <w:p>
      <w:pPr>
        <w:pStyle w:val="889"/>
        <w:shd w:val="clear" w:color="auto" w:fill="FFFFFF"/>
        <w:snapToGrid w:val="0"/>
        <w:spacing w:after="240" w:afterAutospacing="0" w:line="480" w:lineRule="exact"/>
        <w:ind w:firstLine="420" w:firstLineChars="175"/>
        <w:contextualSpacing/>
        <w:rPr>
          <w:color w:val="auto"/>
          <w:sz w:val="18"/>
          <w:szCs w:val="18"/>
          <w:highlight w:val="none"/>
        </w:rPr>
      </w:pPr>
      <w:r>
        <w:rPr>
          <w:rFonts w:hint="eastAsia"/>
          <w:color w:val="auto"/>
          <w:highlight w:val="none"/>
        </w:rPr>
        <w:t>3.3.4以联合体形式参加采购活动的，其投诉应当由组成联合体的所有供应商共同提出。</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二、交易文件的构成、澄清、修改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pPr>
        <w:adjustRightInd/>
        <w:spacing w:line="360" w:lineRule="auto"/>
        <w:jc w:val="center"/>
        <w:outlineLvl w:val="0"/>
        <w:rPr>
          <w:rFonts w:ascii="宋体" w:hAnsi="宋体" w:cs="宋体"/>
          <w:b/>
          <w:color w:val="auto"/>
          <w:sz w:val="30"/>
          <w:szCs w:val="20"/>
          <w:highlight w:val="none"/>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交易人组织潜在供应商现场考察或者召开交易前答疑会的，潜在供应商按第二部分供应商须知前附表的规定参加现场考察或者开标前答疑会。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响应文件及供应商与交易有关的来往通知、函件和文件均应使用中文。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供应商廉洁自律承诺书。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供应商提供虚假材料投标的，交易无效。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12.3交易文件对响应文件签署、盖章的要求适用于电子签名。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pPr>
        <w:pStyle w:val="34"/>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7"/>
        <w:spacing w:before="0" w:line="360" w:lineRule="auto"/>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17.1采购机构按照交易文件规定的时间通过电子交易平台组织开标，所有供应商均应当准时在线参加。供应商不足3家的，不得开标。</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18、资格审查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交易人或采购机构依据法律法规和交易文件的规定，对供应商的基本资格条件、特定资格条件进行审查。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供应商不具备交易文件中规定的资格要求，其交易无效。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4对未通过资格审查的供应商，交易人或采购机构告知其未通过的原因。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360" w:lineRule="auto"/>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详见交易文件第四部分交易办法。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3"/>
        <w:spacing w:line="360" w:lineRule="auto"/>
        <w:ind w:left="479" w:hanging="479" w:hangingChars="199"/>
        <w:rPr>
          <w:rFonts w:cs="宋体"/>
          <w:b/>
          <w:color w:val="auto"/>
          <w:highlight w:val="none"/>
        </w:rPr>
      </w:pPr>
      <w:r>
        <w:rPr>
          <w:rFonts w:hint="eastAsia" w:cs="宋体"/>
          <w:b/>
          <w:color w:val="auto"/>
          <w:highlight w:val="none"/>
        </w:rPr>
        <w:t>20.确定成交供应商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交易人将自收到评审报告之日起5个工作日内通过电子交易平台在评审报告推荐的成交候选人中按顺序确定成交供应商。</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21.2成交结果公告内容包括交易人及其委托的采购机构的名称、地址、联系方式，项目名称和交易编号，成交人名称、地址和成交金额。</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交易人与成交人应当通过电子交易平台在成交通知书发出之日起三十日内，按照交易文件确定的事项签订采购合同。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23.4成交供应商拒绝与交易人签订合同的，交易人可以按照评审报告推荐的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或者成交候选人名单排序，确定下一候选人为成交供应商，也可以重新开展采购活动。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23.5采购合同由交易人与成交供应商根据交易文件、响应文件等内容通过政府采购电子交易平台在线签订，自动备案。</w:t>
      </w:r>
    </w:p>
    <w:p>
      <w:pPr>
        <w:pStyle w:val="3"/>
        <w:spacing w:line="360" w:lineRule="auto"/>
        <w:ind w:left="479" w:hanging="479" w:hangingChars="199"/>
        <w:rPr>
          <w:rFonts w:cs="宋体"/>
          <w:b/>
          <w:color w:val="auto"/>
          <w:highlight w:val="none"/>
        </w:rPr>
      </w:pPr>
      <w:r>
        <w:rPr>
          <w:rFonts w:hint="eastAsia" w:cs="宋体"/>
          <w:b/>
          <w:color w:val="auto"/>
          <w:highlight w:val="none"/>
        </w:rPr>
        <w:t>24.履约保证金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。履约保证金的数额不得超过采购合同金额的2%。鼓励和支持供应商以银行、保险公司出具的保函形式提供履约保证金。</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60" w:lineRule="auto"/>
        <w:ind w:firstLine="0" w:firstLineChars="0"/>
        <w:rPr>
          <w:rFonts w:cs="宋体"/>
          <w:b/>
          <w:color w:val="auto"/>
          <w:highlight w:val="none"/>
        </w:rPr>
      </w:pPr>
      <w:r>
        <w:rPr>
          <w:rFonts w:hint="eastAsia" w:cs="宋体"/>
          <w:b/>
          <w:color w:val="auto"/>
          <w:highlight w:val="none"/>
        </w:rPr>
        <w:t>27.验收</w:t>
      </w:r>
    </w:p>
    <w:p>
      <w:pPr>
        <w:tabs>
          <w:tab w:val="left" w:pos="0"/>
        </w:tabs>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27.1交易人应当组织对供应商履约的验收。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2"/>
        </w:num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2"/>
        <w:tblW w:w="9027" w:type="dxa"/>
        <w:jc w:val="center"/>
        <w:tblLayout w:type="fixed"/>
        <w:tblCellMar>
          <w:top w:w="0" w:type="dxa"/>
          <w:left w:w="0" w:type="dxa"/>
          <w:bottom w:w="0" w:type="dxa"/>
          <w:right w:w="0" w:type="dxa"/>
        </w:tblCellMar>
      </w:tblPr>
      <w:tblGrid>
        <w:gridCol w:w="624"/>
        <w:gridCol w:w="4309"/>
        <w:gridCol w:w="1903"/>
        <w:gridCol w:w="773"/>
        <w:gridCol w:w="773"/>
        <w:gridCol w:w="645"/>
      </w:tblGrid>
      <w:tr>
        <w:tblPrEx>
          <w:tblCellMar>
            <w:top w:w="0" w:type="dxa"/>
            <w:left w:w="0" w:type="dxa"/>
            <w:bottom w:w="0" w:type="dxa"/>
            <w:right w:w="0" w:type="dxa"/>
          </w:tblCellMar>
        </w:tblPrEx>
        <w:trPr>
          <w:cantSplit/>
          <w:trHeight w:val="64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6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萧山三职外教进校园服务</w:t>
            </w:r>
            <w:r>
              <w:rPr>
                <w:rFonts w:hint="eastAsia" w:ascii="宋体" w:hAnsi="宋体" w:cs="宋体"/>
                <w:color w:val="auto"/>
                <w:sz w:val="24"/>
                <w:highlight w:val="none"/>
              </w:rPr>
              <w:t>采购项目</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45"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b/>
          <w:color w:val="auto"/>
          <w:sz w:val="28"/>
          <w:szCs w:val="28"/>
          <w:highlight w:val="none"/>
        </w:rPr>
        <w:t>二、交易需求</w:t>
      </w:r>
    </w:p>
    <w:p>
      <w:pPr>
        <w:spacing w:line="360" w:lineRule="auto"/>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w:t>
      </w:r>
      <w:r>
        <w:rPr>
          <w:rFonts w:hint="eastAsia" w:ascii="宋体" w:hAnsi="宋体" w:cs="宋体"/>
          <w:b/>
          <w:bCs/>
          <w:color w:val="auto"/>
          <w:sz w:val="24"/>
          <w:highlight w:val="none"/>
        </w:rPr>
        <w:t>技术需求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萧山三职外教进校园服务</w:t>
      </w:r>
      <w:r>
        <w:rPr>
          <w:rFonts w:hint="eastAsia" w:ascii="宋体" w:hAnsi="宋体" w:cs="宋体"/>
          <w:color w:val="auto"/>
          <w:sz w:val="24"/>
          <w:highlight w:val="none"/>
        </w:rPr>
        <w:t>采购项目。原则上</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确定好外教后，外教按时保质提供教学。</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将不定期对教师进行考评，若考评不合格，</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有权要求调换教师。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篮球</w:t>
      </w:r>
      <w:r>
        <w:rPr>
          <w:rFonts w:hint="eastAsia" w:ascii="宋体" w:hAnsi="宋体" w:cs="宋体"/>
          <w:color w:val="auto"/>
          <w:sz w:val="24"/>
          <w:highlight w:val="none"/>
        </w:rPr>
        <w:t>外籍教师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人,具体要求如下：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1.1篮球</w:t>
      </w:r>
      <w:r>
        <w:rPr>
          <w:rFonts w:hint="eastAsia" w:ascii="宋体" w:hAnsi="宋体" w:cs="宋体"/>
          <w:color w:val="auto"/>
          <w:sz w:val="24"/>
          <w:highlight w:val="none"/>
        </w:rPr>
        <w:t>外籍教师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数量：1人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（1）本科（有学士学位证书）及以上学历，要求</w:t>
      </w:r>
      <w:r>
        <w:rPr>
          <w:rFonts w:hint="eastAsia" w:ascii="宋体" w:hAnsi="宋体" w:cs="宋体"/>
          <w:color w:val="auto"/>
          <w:sz w:val="24"/>
          <w:highlight w:val="none"/>
          <w:lang w:val="en-US" w:eastAsia="zh-CN"/>
        </w:rPr>
        <w:t>体育或篮球</w:t>
      </w:r>
      <w:r>
        <w:rPr>
          <w:rFonts w:hint="eastAsia" w:ascii="宋体" w:hAnsi="宋体" w:cs="宋体"/>
          <w:color w:val="auto"/>
          <w:sz w:val="24"/>
          <w:highlight w:val="none"/>
        </w:rPr>
        <w:t>相关专业，擅长</w:t>
      </w:r>
      <w:r>
        <w:rPr>
          <w:rFonts w:hint="eastAsia" w:ascii="宋体" w:hAnsi="宋体" w:cs="宋体"/>
          <w:color w:val="auto"/>
          <w:sz w:val="24"/>
          <w:highlight w:val="none"/>
          <w:lang w:val="en-US" w:eastAsia="zh-CN"/>
        </w:rPr>
        <w:t>篮球</w:t>
      </w:r>
      <w:r>
        <w:rPr>
          <w:rFonts w:hint="eastAsia" w:ascii="宋体" w:hAnsi="宋体" w:cs="宋体"/>
          <w:color w:val="auto"/>
          <w:sz w:val="24"/>
          <w:highlight w:val="none"/>
        </w:rPr>
        <w:t>教学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有篮球教学证书，</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年以上在国内相关教学经验。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教师年龄在20-40周岁以内，</w:t>
      </w:r>
      <w:r>
        <w:rPr>
          <w:rFonts w:hint="eastAsia" w:ascii="宋体" w:hAnsi="宋体" w:cs="宋体"/>
          <w:color w:val="auto"/>
          <w:sz w:val="24"/>
          <w:highlight w:val="none"/>
          <w:lang w:val="en-US" w:eastAsia="zh-CN"/>
        </w:rPr>
        <w:t>男</w:t>
      </w:r>
      <w:r>
        <w:rPr>
          <w:rFonts w:hint="eastAsia" w:ascii="宋体" w:hAnsi="宋体" w:cs="宋体"/>
          <w:color w:val="auto"/>
          <w:sz w:val="24"/>
          <w:highlight w:val="none"/>
        </w:rPr>
        <w:t>，身体健康（必须通过浙江出入境检验检疫局体检，获得合格的境外人员体格检查记录验证证明 ），无犯罪记录（提供当地政府出具的有效证明）。</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（2）合同期内，</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可随时确定人员由</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派遣。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（3）确定录用后，需在二个月内办理出外籍人员工作许可证。</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工作时间</w:t>
      </w:r>
      <w:r>
        <w:rPr>
          <w:rFonts w:hint="eastAsia" w:ascii="宋体" w:hAnsi="宋体" w:cs="宋体"/>
          <w:color w:val="auto"/>
          <w:sz w:val="24"/>
          <w:highlight w:val="none"/>
          <w:lang w:eastAsia="zh-CN"/>
        </w:rPr>
        <w:t>：</w:t>
      </w:r>
      <w:r>
        <w:rPr>
          <w:rFonts w:hint="eastAsia" w:ascii="宋体" w:hAnsi="宋体" w:cs="宋体"/>
          <w:color w:val="auto"/>
          <w:sz w:val="24"/>
          <w:highlight w:val="none"/>
        </w:rPr>
        <w:t>按学校课表上课，周一到周五</w:t>
      </w:r>
      <w:r>
        <w:rPr>
          <w:rFonts w:hint="default" w:ascii="宋体" w:hAnsi="宋体" w:cs="宋体"/>
          <w:color w:val="auto"/>
          <w:sz w:val="24"/>
          <w:highlight w:val="none"/>
          <w:lang w:val="en-US"/>
        </w:rPr>
        <w:t>,</w:t>
      </w:r>
      <w:r>
        <w:rPr>
          <w:rFonts w:hint="eastAsia" w:ascii="宋体" w:hAnsi="宋体" w:cs="宋体"/>
          <w:color w:val="auto"/>
          <w:sz w:val="24"/>
          <w:highlight w:val="none"/>
          <w:lang w:val="en-US" w:eastAsia="zh-CN"/>
        </w:rPr>
        <w:t>每周12课时排课</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教课时间：周一到周五白天。</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饮食费用：自行解决</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住宿地点：校园外（注：由</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自行解决）</w:t>
      </w:r>
      <w:r>
        <w:rPr>
          <w:rFonts w:hint="eastAsia" w:ascii="宋体" w:hAnsi="宋体" w:cs="宋体"/>
          <w:color w:val="auto"/>
          <w:sz w:val="24"/>
          <w:highlight w:val="none"/>
          <w:lang w:eastAsia="zh-CN"/>
        </w:rPr>
        <w:t>。</w:t>
      </w:r>
    </w:p>
    <w:p>
      <w:pPr>
        <w:tabs>
          <w:tab w:val="left" w:pos="6495"/>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2、商务需求</w:t>
      </w:r>
    </w:p>
    <w:p>
      <w:pPr>
        <w:widowControl/>
        <w:shd w:val="clear" w:color="auto" w:fill="FFFFFF"/>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2.1服务期限：</w:t>
      </w:r>
      <w:r>
        <w:rPr>
          <w:rFonts w:hint="eastAsia" w:ascii="宋体" w:hAnsi="宋体" w:cs="宋体"/>
          <w:color w:val="auto"/>
          <w:sz w:val="24"/>
          <w:highlight w:val="none"/>
          <w:lang w:val="en-US" w:eastAsia="zh-CN"/>
        </w:rPr>
        <w:t>1年。</w:t>
      </w:r>
    </w:p>
    <w:p>
      <w:pPr>
        <w:widowControl/>
        <w:shd w:val="clear" w:color="auto" w:fill="FFFFFF"/>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2.2合同期限</w:t>
      </w:r>
      <w:r>
        <w:rPr>
          <w:rFonts w:hint="eastAsia" w:ascii="宋体" w:hAnsi="宋体" w:cs="宋体"/>
          <w:color w:val="auto"/>
          <w:sz w:val="24"/>
          <w:highlight w:val="none"/>
          <w:lang w:eastAsia="zh-CN"/>
        </w:rPr>
        <w:t>：</w:t>
      </w:r>
      <w:r>
        <w:rPr>
          <w:rFonts w:hint="eastAsia" w:ascii="宋体" w:hAnsi="宋体" w:cs="宋体"/>
          <w:color w:val="auto"/>
          <w:sz w:val="24"/>
          <w:highlight w:val="none"/>
        </w:rPr>
        <w:t>具体服务起止时间，根据交易进度在签订合同时明确。</w:t>
      </w:r>
    </w:p>
    <w:p>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w:t>
      </w:r>
      <w:bookmarkStart w:id="383" w:name="_GoBack"/>
      <w:bookmarkEnd w:id="383"/>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签订后，</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价的40%，外教开始办证后，向</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价的40%，余款20%在2022年财政结算日之前支付。</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3238"/>
      <w:bookmarkEnd w:id="16"/>
      <w:bookmarkStart w:id="17" w:name="_Toc184313264"/>
      <w:bookmarkEnd w:id="17"/>
      <w:bookmarkStart w:id="18" w:name="_Toc184312068"/>
      <w:bookmarkEnd w:id="18"/>
      <w:bookmarkStart w:id="19" w:name="_Toc184314411"/>
      <w:bookmarkEnd w:id="19"/>
      <w:bookmarkStart w:id="20" w:name="_Toc184314416"/>
      <w:bookmarkEnd w:id="20"/>
      <w:bookmarkStart w:id="21" w:name="_Toc184314443"/>
      <w:bookmarkEnd w:id="21"/>
      <w:bookmarkStart w:id="22" w:name="_Toc184308046"/>
      <w:bookmarkEnd w:id="22"/>
      <w:bookmarkStart w:id="23" w:name="_Toc184313268"/>
      <w:bookmarkEnd w:id="23"/>
      <w:bookmarkStart w:id="24" w:name="_Toc184308102"/>
      <w:bookmarkEnd w:id="24"/>
      <w:bookmarkStart w:id="25" w:name="_Toc184308071"/>
      <w:bookmarkEnd w:id="25"/>
      <w:bookmarkStart w:id="26" w:name="_Toc184312123"/>
      <w:bookmarkEnd w:id="26"/>
      <w:bookmarkStart w:id="27" w:name="_Toc184313244"/>
      <w:bookmarkEnd w:id="27"/>
      <w:bookmarkStart w:id="28" w:name="_Toc184314461"/>
      <w:bookmarkEnd w:id="28"/>
      <w:bookmarkStart w:id="29" w:name="_Toc184308044"/>
      <w:bookmarkEnd w:id="29"/>
      <w:bookmarkStart w:id="30" w:name="_Toc184308042"/>
      <w:bookmarkEnd w:id="30"/>
      <w:bookmarkStart w:id="31" w:name="_Toc184310279"/>
      <w:bookmarkEnd w:id="31"/>
      <w:bookmarkStart w:id="32" w:name="_Toc184308081"/>
      <w:bookmarkEnd w:id="32"/>
      <w:bookmarkStart w:id="33" w:name="_Toc184312117"/>
      <w:bookmarkEnd w:id="33"/>
      <w:bookmarkStart w:id="34" w:name="_Toc184313265"/>
      <w:bookmarkEnd w:id="34"/>
      <w:bookmarkStart w:id="35" w:name="_Toc184312103"/>
      <w:bookmarkEnd w:id="35"/>
      <w:bookmarkStart w:id="36" w:name="_Toc184310290"/>
      <w:bookmarkEnd w:id="36"/>
      <w:bookmarkStart w:id="37" w:name="_Toc184312078"/>
      <w:bookmarkEnd w:id="37"/>
      <w:bookmarkStart w:id="38" w:name="_Toc184310295"/>
      <w:bookmarkEnd w:id="38"/>
      <w:bookmarkStart w:id="39" w:name="_Toc184308086"/>
      <w:bookmarkEnd w:id="39"/>
      <w:bookmarkStart w:id="40" w:name="_Toc184310318"/>
      <w:bookmarkEnd w:id="40"/>
      <w:bookmarkStart w:id="41" w:name="_Toc184308050"/>
      <w:bookmarkEnd w:id="41"/>
      <w:bookmarkStart w:id="42" w:name="_Toc184313254"/>
      <w:bookmarkEnd w:id="42"/>
      <w:bookmarkStart w:id="43" w:name="_Toc184314442"/>
      <w:bookmarkEnd w:id="43"/>
      <w:bookmarkStart w:id="44" w:name="_Toc184308079"/>
      <w:bookmarkEnd w:id="44"/>
      <w:bookmarkStart w:id="45" w:name="_Toc184308090"/>
      <w:bookmarkEnd w:id="45"/>
      <w:bookmarkStart w:id="46" w:name="_Toc184313258"/>
      <w:bookmarkEnd w:id="46"/>
      <w:bookmarkStart w:id="47" w:name="_Toc184313277"/>
      <w:bookmarkEnd w:id="47"/>
      <w:bookmarkStart w:id="48" w:name="_Toc184310286"/>
      <w:bookmarkEnd w:id="48"/>
      <w:bookmarkStart w:id="49" w:name="_Toc184312074"/>
      <w:bookmarkEnd w:id="49"/>
      <w:bookmarkStart w:id="50" w:name="_Toc184313247"/>
      <w:bookmarkEnd w:id="50"/>
      <w:bookmarkStart w:id="51" w:name="_Toc184313285"/>
      <w:bookmarkEnd w:id="51"/>
      <w:bookmarkStart w:id="52" w:name="_Toc184313260"/>
      <w:bookmarkEnd w:id="52"/>
      <w:bookmarkStart w:id="53" w:name="_Toc184310336"/>
      <w:bookmarkEnd w:id="53"/>
      <w:bookmarkStart w:id="54" w:name="_Toc184312092"/>
      <w:bookmarkEnd w:id="54"/>
      <w:bookmarkStart w:id="55" w:name="_Toc184312093"/>
      <w:bookmarkEnd w:id="55"/>
      <w:bookmarkStart w:id="56" w:name="_Toc184310299"/>
      <w:bookmarkEnd w:id="56"/>
      <w:bookmarkStart w:id="57" w:name="_Toc184313274"/>
      <w:bookmarkEnd w:id="57"/>
      <w:bookmarkStart w:id="58" w:name="_Toc184314460"/>
      <w:bookmarkEnd w:id="58"/>
      <w:bookmarkStart w:id="59" w:name="_Toc184313280"/>
      <w:bookmarkEnd w:id="59"/>
      <w:bookmarkStart w:id="60" w:name="_Toc184314471"/>
      <w:bookmarkEnd w:id="60"/>
      <w:bookmarkStart w:id="61" w:name="_Toc184310328"/>
      <w:bookmarkEnd w:id="61"/>
      <w:bookmarkStart w:id="62" w:name="_Toc184310298"/>
      <w:bookmarkEnd w:id="62"/>
      <w:bookmarkStart w:id="63" w:name="_Toc184310316"/>
      <w:bookmarkEnd w:id="63"/>
      <w:bookmarkStart w:id="64" w:name="_Toc184314464"/>
      <w:bookmarkEnd w:id="64"/>
      <w:bookmarkStart w:id="65" w:name="_Toc184314458"/>
      <w:bookmarkEnd w:id="65"/>
      <w:bookmarkStart w:id="66" w:name="_Toc184313255"/>
      <w:bookmarkEnd w:id="66"/>
      <w:bookmarkStart w:id="67" w:name="_Toc184312090"/>
      <w:bookmarkEnd w:id="67"/>
      <w:bookmarkStart w:id="68" w:name="_Toc184313275"/>
      <w:bookmarkEnd w:id="68"/>
      <w:bookmarkStart w:id="69" w:name="_Toc184314451"/>
      <w:bookmarkEnd w:id="69"/>
      <w:bookmarkStart w:id="70" w:name="_Toc184314427"/>
      <w:bookmarkEnd w:id="70"/>
      <w:bookmarkStart w:id="71" w:name="_Toc184314479"/>
      <w:bookmarkEnd w:id="71"/>
      <w:bookmarkStart w:id="72" w:name="_Toc184313266"/>
      <w:bookmarkEnd w:id="72"/>
      <w:bookmarkStart w:id="73" w:name="_Toc184314456"/>
      <w:bookmarkEnd w:id="73"/>
      <w:bookmarkStart w:id="74" w:name="_Toc184310309"/>
      <w:bookmarkEnd w:id="74"/>
      <w:bookmarkStart w:id="75" w:name="_Toc184312119"/>
      <w:bookmarkEnd w:id="75"/>
      <w:bookmarkStart w:id="76" w:name="_Toc184308078"/>
      <w:bookmarkEnd w:id="76"/>
      <w:bookmarkStart w:id="77" w:name="_Toc184313292"/>
      <w:bookmarkEnd w:id="77"/>
      <w:bookmarkStart w:id="78" w:name="_Toc184308095"/>
      <w:bookmarkEnd w:id="78"/>
      <w:bookmarkStart w:id="79" w:name="_Toc184308060"/>
      <w:bookmarkEnd w:id="79"/>
      <w:bookmarkStart w:id="80" w:name="_Toc184308053"/>
      <w:bookmarkEnd w:id="80"/>
      <w:bookmarkStart w:id="81" w:name="_Toc184310323"/>
      <w:bookmarkEnd w:id="81"/>
      <w:bookmarkStart w:id="82" w:name="_Toc184308056"/>
      <w:bookmarkEnd w:id="82"/>
      <w:bookmarkStart w:id="83" w:name="_Toc184312079"/>
      <w:bookmarkEnd w:id="83"/>
      <w:bookmarkStart w:id="84" w:name="_Toc184313259"/>
      <w:bookmarkEnd w:id="84"/>
      <w:bookmarkStart w:id="85" w:name="_Toc184313307"/>
      <w:bookmarkEnd w:id="85"/>
      <w:bookmarkStart w:id="86" w:name="_Toc184310330"/>
      <w:bookmarkEnd w:id="86"/>
      <w:bookmarkStart w:id="87" w:name="_Toc184310327"/>
      <w:bookmarkEnd w:id="87"/>
      <w:bookmarkStart w:id="88" w:name="_Toc184314440"/>
      <w:bookmarkEnd w:id="88"/>
      <w:bookmarkStart w:id="89" w:name="_Toc184314414"/>
      <w:bookmarkEnd w:id="89"/>
      <w:bookmarkStart w:id="90" w:name="_Toc184308087"/>
      <w:bookmarkEnd w:id="90"/>
      <w:bookmarkStart w:id="91" w:name="_Toc184312097"/>
      <w:bookmarkEnd w:id="91"/>
      <w:bookmarkStart w:id="92" w:name="_Toc184308066"/>
      <w:bookmarkEnd w:id="92"/>
      <w:bookmarkStart w:id="93" w:name="_Toc184312105"/>
      <w:bookmarkEnd w:id="93"/>
      <w:bookmarkStart w:id="94" w:name="_Toc184310333"/>
      <w:bookmarkEnd w:id="94"/>
      <w:bookmarkStart w:id="95" w:name="_Toc184314417"/>
      <w:bookmarkEnd w:id="95"/>
      <w:bookmarkStart w:id="96" w:name="_Toc184312127"/>
      <w:bookmarkEnd w:id="96"/>
      <w:bookmarkStart w:id="97" w:name="_Toc184314432"/>
      <w:bookmarkEnd w:id="97"/>
      <w:bookmarkStart w:id="98" w:name="_Toc184312081"/>
      <w:bookmarkEnd w:id="98"/>
      <w:bookmarkStart w:id="99" w:name="_Toc184308108"/>
      <w:bookmarkEnd w:id="99"/>
      <w:bookmarkStart w:id="100" w:name="_Toc184308091"/>
      <w:bookmarkEnd w:id="100"/>
      <w:bookmarkStart w:id="101" w:name="_Toc184313250"/>
      <w:bookmarkEnd w:id="101"/>
      <w:bookmarkStart w:id="102" w:name="_Toc184312084"/>
      <w:bookmarkEnd w:id="102"/>
      <w:bookmarkStart w:id="103" w:name="_Toc184308096"/>
      <w:bookmarkEnd w:id="103"/>
      <w:bookmarkStart w:id="104" w:name="_Toc184314435"/>
      <w:bookmarkEnd w:id="104"/>
      <w:bookmarkStart w:id="105" w:name="_Toc184310294"/>
      <w:bookmarkEnd w:id="105"/>
      <w:bookmarkStart w:id="106" w:name="_Toc184313303"/>
      <w:bookmarkEnd w:id="106"/>
      <w:bookmarkStart w:id="107" w:name="_Toc184313289"/>
      <w:bookmarkEnd w:id="107"/>
      <w:bookmarkStart w:id="108" w:name="_Toc184308076"/>
      <w:bookmarkEnd w:id="108"/>
      <w:bookmarkStart w:id="109" w:name="_Toc184314480"/>
      <w:bookmarkEnd w:id="109"/>
      <w:bookmarkStart w:id="110" w:name="_Toc184310302"/>
      <w:bookmarkEnd w:id="110"/>
      <w:bookmarkStart w:id="111" w:name="_Toc184310273"/>
      <w:bookmarkEnd w:id="111"/>
      <w:bookmarkStart w:id="112" w:name="_Toc184308106"/>
      <w:bookmarkEnd w:id="112"/>
      <w:bookmarkStart w:id="113" w:name="_Toc184310324"/>
      <w:bookmarkEnd w:id="113"/>
      <w:bookmarkStart w:id="114" w:name="_Toc184308049"/>
      <w:bookmarkEnd w:id="114"/>
      <w:bookmarkStart w:id="115" w:name="_Toc184313283"/>
      <w:bookmarkEnd w:id="115"/>
      <w:bookmarkStart w:id="116" w:name="_Toc184310337"/>
      <w:bookmarkEnd w:id="116"/>
      <w:bookmarkStart w:id="117" w:name="_Toc184310297"/>
      <w:bookmarkEnd w:id="117"/>
      <w:bookmarkStart w:id="118" w:name="_Toc184314439"/>
      <w:bookmarkEnd w:id="118"/>
      <w:bookmarkStart w:id="119" w:name="_Toc184312138"/>
      <w:bookmarkEnd w:id="119"/>
      <w:bookmarkStart w:id="120" w:name="_Toc184312070"/>
      <w:bookmarkEnd w:id="120"/>
      <w:bookmarkStart w:id="121" w:name="_Toc184313261"/>
      <w:bookmarkEnd w:id="121"/>
      <w:bookmarkStart w:id="122" w:name="_Toc184313295"/>
      <w:bookmarkEnd w:id="122"/>
      <w:bookmarkStart w:id="123" w:name="_Toc184313308"/>
      <w:bookmarkEnd w:id="123"/>
      <w:bookmarkStart w:id="124" w:name="_Toc184314453"/>
      <w:bookmarkEnd w:id="124"/>
      <w:bookmarkStart w:id="125" w:name="_Toc184314444"/>
      <w:bookmarkEnd w:id="125"/>
      <w:bookmarkStart w:id="126" w:name="_Toc184312099"/>
      <w:bookmarkEnd w:id="126"/>
      <w:bookmarkStart w:id="127" w:name="_Toc184312139"/>
      <w:bookmarkEnd w:id="127"/>
      <w:bookmarkStart w:id="128" w:name="_Toc184312087"/>
      <w:bookmarkEnd w:id="128"/>
      <w:bookmarkStart w:id="129" w:name="_Toc184308099"/>
      <w:bookmarkEnd w:id="129"/>
      <w:bookmarkStart w:id="130" w:name="_Toc184312089"/>
      <w:bookmarkEnd w:id="130"/>
      <w:bookmarkStart w:id="131" w:name="_Toc184308041"/>
      <w:bookmarkEnd w:id="131"/>
      <w:bookmarkStart w:id="132" w:name="_Toc184310338"/>
      <w:bookmarkEnd w:id="132"/>
      <w:bookmarkStart w:id="133" w:name="_Toc184312126"/>
      <w:bookmarkEnd w:id="133"/>
      <w:bookmarkStart w:id="134" w:name="_Toc184312130"/>
      <w:bookmarkEnd w:id="134"/>
      <w:bookmarkStart w:id="135" w:name="_Toc184308040"/>
      <w:bookmarkEnd w:id="135"/>
      <w:bookmarkStart w:id="136" w:name="_Toc184308061"/>
      <w:bookmarkEnd w:id="136"/>
      <w:bookmarkStart w:id="137" w:name="_Toc184313288"/>
      <w:bookmarkEnd w:id="137"/>
      <w:bookmarkStart w:id="138" w:name="_Toc184313239"/>
      <w:bookmarkEnd w:id="138"/>
      <w:bookmarkStart w:id="139" w:name="_Toc184313248"/>
      <w:bookmarkEnd w:id="139"/>
      <w:bookmarkStart w:id="140" w:name="_Toc184313298"/>
      <w:bookmarkEnd w:id="140"/>
      <w:bookmarkStart w:id="141" w:name="_Toc184312094"/>
      <w:bookmarkEnd w:id="141"/>
      <w:bookmarkStart w:id="142" w:name="_Toc184310315"/>
      <w:bookmarkEnd w:id="142"/>
      <w:bookmarkStart w:id="143" w:name="_Toc184313251"/>
      <w:bookmarkEnd w:id="143"/>
      <w:bookmarkStart w:id="144" w:name="_Toc184310310"/>
      <w:bookmarkEnd w:id="144"/>
      <w:bookmarkStart w:id="145" w:name="_Toc184310322"/>
      <w:bookmarkEnd w:id="145"/>
      <w:bookmarkStart w:id="146" w:name="_Toc184308082"/>
      <w:bookmarkEnd w:id="146"/>
      <w:bookmarkStart w:id="147" w:name="_Toc184314428"/>
      <w:bookmarkEnd w:id="147"/>
      <w:bookmarkStart w:id="148" w:name="_Toc184312136"/>
      <w:bookmarkEnd w:id="148"/>
      <w:bookmarkStart w:id="149" w:name="_Toc184312083"/>
      <w:bookmarkEnd w:id="149"/>
      <w:bookmarkStart w:id="150" w:name="_Toc184313300"/>
      <w:bookmarkEnd w:id="150"/>
      <w:bookmarkStart w:id="151" w:name="_Toc184310344"/>
      <w:bookmarkEnd w:id="151"/>
      <w:bookmarkStart w:id="152" w:name="_Toc184308059"/>
      <w:bookmarkEnd w:id="152"/>
      <w:bookmarkStart w:id="153" w:name="_Toc184310311"/>
      <w:bookmarkEnd w:id="153"/>
      <w:bookmarkStart w:id="154" w:name="_Toc184312131"/>
      <w:bookmarkEnd w:id="154"/>
      <w:bookmarkStart w:id="155" w:name="_Toc184310285"/>
      <w:bookmarkEnd w:id="155"/>
      <w:bookmarkStart w:id="156" w:name="_Toc184308080"/>
      <w:bookmarkEnd w:id="156"/>
      <w:bookmarkStart w:id="157" w:name="_Toc184310317"/>
      <w:bookmarkEnd w:id="157"/>
      <w:bookmarkStart w:id="158" w:name="_Toc184314457"/>
      <w:bookmarkEnd w:id="158"/>
      <w:bookmarkStart w:id="159" w:name="_Toc184314437"/>
      <w:bookmarkEnd w:id="159"/>
      <w:bookmarkStart w:id="160" w:name="_Toc184310296"/>
      <w:bookmarkEnd w:id="160"/>
      <w:bookmarkStart w:id="161" w:name="_Toc184312132"/>
      <w:bookmarkEnd w:id="161"/>
      <w:bookmarkStart w:id="162" w:name="_Toc184314474"/>
      <w:bookmarkEnd w:id="162"/>
      <w:bookmarkStart w:id="163" w:name="_Toc184308094"/>
      <w:bookmarkEnd w:id="163"/>
      <w:bookmarkStart w:id="164" w:name="_Toc184308103"/>
      <w:bookmarkEnd w:id="164"/>
      <w:bookmarkStart w:id="165" w:name="_Toc184312071"/>
      <w:bookmarkEnd w:id="165"/>
      <w:bookmarkStart w:id="166" w:name="_Toc184314446"/>
      <w:bookmarkEnd w:id="166"/>
      <w:bookmarkStart w:id="167" w:name="_Toc184308058"/>
      <w:bookmarkEnd w:id="167"/>
      <w:bookmarkStart w:id="168" w:name="_Toc184312134"/>
      <w:bookmarkEnd w:id="168"/>
      <w:bookmarkStart w:id="169" w:name="_Toc184310332"/>
      <w:bookmarkEnd w:id="169"/>
      <w:bookmarkStart w:id="170" w:name="_Toc184312091"/>
      <w:bookmarkEnd w:id="170"/>
      <w:bookmarkStart w:id="171" w:name="_Toc184313294"/>
      <w:bookmarkEnd w:id="171"/>
      <w:bookmarkStart w:id="172" w:name="_Toc184314447"/>
      <w:bookmarkEnd w:id="172"/>
      <w:bookmarkStart w:id="173" w:name="_Toc184312118"/>
      <w:bookmarkEnd w:id="173"/>
      <w:bookmarkStart w:id="174" w:name="_Toc184310281"/>
      <w:bookmarkEnd w:id="174"/>
      <w:bookmarkStart w:id="175" w:name="_Toc184308101"/>
      <w:bookmarkEnd w:id="175"/>
      <w:bookmarkStart w:id="176" w:name="_Toc184313246"/>
      <w:bookmarkEnd w:id="176"/>
      <w:bookmarkStart w:id="177" w:name="_Toc184308047"/>
      <w:bookmarkEnd w:id="177"/>
      <w:bookmarkStart w:id="178" w:name="_Toc184308068"/>
      <w:bookmarkEnd w:id="178"/>
      <w:bookmarkStart w:id="179" w:name="_Toc184308075"/>
      <w:bookmarkEnd w:id="179"/>
      <w:bookmarkStart w:id="180" w:name="_Toc184312107"/>
      <w:bookmarkEnd w:id="180"/>
      <w:bookmarkStart w:id="181" w:name="_Toc184313290"/>
      <w:bookmarkEnd w:id="181"/>
      <w:bookmarkStart w:id="182" w:name="_Toc184312096"/>
      <w:bookmarkEnd w:id="182"/>
      <w:bookmarkStart w:id="183" w:name="_Toc184308083"/>
      <w:bookmarkEnd w:id="183"/>
      <w:bookmarkStart w:id="184" w:name="_Toc184314420"/>
      <w:bookmarkEnd w:id="184"/>
      <w:bookmarkStart w:id="185" w:name="_Toc184313309"/>
      <w:bookmarkEnd w:id="185"/>
      <w:bookmarkStart w:id="186" w:name="_Toc184312095"/>
      <w:bookmarkEnd w:id="186"/>
      <w:bookmarkStart w:id="187" w:name="_Toc184313257"/>
      <w:bookmarkEnd w:id="187"/>
      <w:bookmarkStart w:id="188" w:name="_Toc184314413"/>
      <w:bookmarkEnd w:id="188"/>
      <w:bookmarkStart w:id="189" w:name="_Toc184313262"/>
      <w:bookmarkEnd w:id="189"/>
      <w:bookmarkStart w:id="190" w:name="_Toc184313279"/>
      <w:bookmarkEnd w:id="190"/>
      <w:bookmarkStart w:id="191" w:name="_Toc184310325"/>
      <w:bookmarkEnd w:id="191"/>
      <w:bookmarkStart w:id="192" w:name="_Toc184312076"/>
      <w:bookmarkEnd w:id="192"/>
      <w:bookmarkStart w:id="193" w:name="_Toc184308085"/>
      <w:bookmarkEnd w:id="193"/>
      <w:bookmarkStart w:id="194" w:name="_Toc184312077"/>
      <w:bookmarkEnd w:id="194"/>
      <w:bookmarkStart w:id="195" w:name="_Toc184314434"/>
      <w:bookmarkEnd w:id="195"/>
      <w:bookmarkStart w:id="196" w:name="_Toc184314462"/>
      <w:bookmarkEnd w:id="196"/>
      <w:bookmarkStart w:id="197" w:name="_Toc184313302"/>
      <w:bookmarkEnd w:id="197"/>
      <w:bookmarkStart w:id="198" w:name="_Toc184314478"/>
      <w:bookmarkEnd w:id="198"/>
      <w:bookmarkStart w:id="199" w:name="_Toc184313241"/>
      <w:bookmarkEnd w:id="199"/>
      <w:bookmarkStart w:id="200" w:name="_Toc184314466"/>
      <w:bookmarkEnd w:id="200"/>
      <w:bookmarkStart w:id="201" w:name="_Toc184310292"/>
      <w:bookmarkEnd w:id="201"/>
      <w:bookmarkStart w:id="202" w:name="_Toc184314473"/>
      <w:bookmarkEnd w:id="202"/>
      <w:bookmarkStart w:id="203" w:name="_Toc184312086"/>
      <w:bookmarkEnd w:id="203"/>
      <w:bookmarkStart w:id="204" w:name="_Toc184308105"/>
      <w:bookmarkEnd w:id="204"/>
      <w:bookmarkStart w:id="205" w:name="_Toc184312122"/>
      <w:bookmarkEnd w:id="205"/>
      <w:bookmarkStart w:id="206" w:name="_Toc184313304"/>
      <w:bookmarkEnd w:id="206"/>
      <w:bookmarkStart w:id="207" w:name="_Toc184313256"/>
      <w:bookmarkEnd w:id="207"/>
      <w:bookmarkStart w:id="208" w:name="_Toc184310272"/>
      <w:bookmarkEnd w:id="208"/>
      <w:bookmarkStart w:id="209" w:name="_Toc184310274"/>
      <w:bookmarkEnd w:id="209"/>
      <w:bookmarkStart w:id="210" w:name="_Toc184308065"/>
      <w:bookmarkEnd w:id="210"/>
      <w:bookmarkStart w:id="211" w:name="_Toc184310331"/>
      <w:bookmarkEnd w:id="211"/>
      <w:bookmarkStart w:id="212" w:name="_Toc184308063"/>
      <w:bookmarkEnd w:id="212"/>
      <w:bookmarkStart w:id="213" w:name="_Toc184313267"/>
      <w:bookmarkEnd w:id="213"/>
      <w:bookmarkStart w:id="214" w:name="_Toc184312075"/>
      <w:bookmarkEnd w:id="214"/>
      <w:bookmarkStart w:id="215" w:name="_Toc184308055"/>
      <w:bookmarkEnd w:id="215"/>
      <w:bookmarkStart w:id="216" w:name="_Toc184314425"/>
      <w:bookmarkEnd w:id="216"/>
      <w:bookmarkStart w:id="217" w:name="_Toc184314438"/>
      <w:bookmarkEnd w:id="217"/>
      <w:bookmarkStart w:id="218" w:name="_Toc184314477"/>
      <w:bookmarkEnd w:id="218"/>
      <w:bookmarkStart w:id="219" w:name="_Toc184310341"/>
      <w:bookmarkEnd w:id="219"/>
      <w:bookmarkStart w:id="220" w:name="_Toc184312120"/>
      <w:bookmarkEnd w:id="220"/>
      <w:bookmarkStart w:id="221" w:name="_Toc184310303"/>
      <w:bookmarkEnd w:id="221"/>
      <w:bookmarkStart w:id="222" w:name="_Toc184314436"/>
      <w:bookmarkEnd w:id="222"/>
      <w:bookmarkStart w:id="223" w:name="_Toc184314452"/>
      <w:bookmarkEnd w:id="223"/>
      <w:bookmarkStart w:id="224" w:name="_Toc184314450"/>
      <w:bookmarkEnd w:id="224"/>
      <w:bookmarkStart w:id="225" w:name="_Toc184310301"/>
      <w:bookmarkEnd w:id="225"/>
      <w:bookmarkStart w:id="226" w:name="_Toc184312110"/>
      <w:bookmarkEnd w:id="226"/>
      <w:bookmarkStart w:id="227" w:name="_Toc184313287"/>
      <w:bookmarkEnd w:id="227"/>
      <w:bookmarkStart w:id="228" w:name="_Toc184310278"/>
      <w:bookmarkEnd w:id="228"/>
      <w:bookmarkStart w:id="229" w:name="_Toc184313240"/>
      <w:bookmarkEnd w:id="229"/>
      <w:bookmarkStart w:id="230" w:name="_Toc184310335"/>
      <w:bookmarkEnd w:id="230"/>
      <w:bookmarkStart w:id="231" w:name="_Toc184314422"/>
      <w:bookmarkEnd w:id="231"/>
      <w:bookmarkStart w:id="232" w:name="_Toc184310288"/>
      <w:bookmarkEnd w:id="232"/>
      <w:bookmarkStart w:id="233" w:name="_Toc184314467"/>
      <w:bookmarkEnd w:id="233"/>
      <w:bookmarkStart w:id="234" w:name="_Toc184314429"/>
      <w:bookmarkEnd w:id="234"/>
      <w:bookmarkStart w:id="235" w:name="_Toc184310275"/>
      <w:bookmarkEnd w:id="235"/>
      <w:bookmarkStart w:id="236" w:name="_Toc184308057"/>
      <w:bookmarkEnd w:id="236"/>
      <w:bookmarkStart w:id="237" w:name="_Toc184314426"/>
      <w:bookmarkEnd w:id="237"/>
      <w:bookmarkStart w:id="238" w:name="_Toc184310300"/>
      <w:bookmarkEnd w:id="238"/>
      <w:bookmarkStart w:id="239" w:name="_Toc184313281"/>
      <w:bookmarkEnd w:id="239"/>
      <w:bookmarkStart w:id="240" w:name="_Toc184310282"/>
      <w:bookmarkEnd w:id="240"/>
      <w:bookmarkStart w:id="241" w:name="_Toc184308077"/>
      <w:bookmarkEnd w:id="241"/>
      <w:bookmarkStart w:id="242" w:name="_Toc184314433"/>
      <w:bookmarkEnd w:id="242"/>
      <w:bookmarkStart w:id="243" w:name="_Toc184310308"/>
      <w:bookmarkEnd w:id="243"/>
      <w:bookmarkStart w:id="244" w:name="_Toc184313306"/>
      <w:bookmarkEnd w:id="244"/>
      <w:bookmarkStart w:id="245" w:name="_Toc184308092"/>
      <w:bookmarkEnd w:id="245"/>
      <w:bookmarkStart w:id="246" w:name="_Toc184310276"/>
      <w:bookmarkEnd w:id="246"/>
      <w:bookmarkStart w:id="247" w:name="_Toc184312082"/>
      <w:bookmarkEnd w:id="247"/>
      <w:bookmarkStart w:id="248" w:name="_Toc184314410"/>
      <w:bookmarkEnd w:id="248"/>
      <w:bookmarkStart w:id="249" w:name="_Toc184314454"/>
      <w:bookmarkEnd w:id="249"/>
      <w:bookmarkStart w:id="250" w:name="_Toc184308100"/>
      <w:bookmarkEnd w:id="250"/>
      <w:bookmarkStart w:id="251" w:name="_Toc184308097"/>
      <w:bookmarkEnd w:id="251"/>
      <w:bookmarkStart w:id="252" w:name="_Toc184312135"/>
      <w:bookmarkEnd w:id="252"/>
      <w:bookmarkStart w:id="253" w:name="_Toc184313293"/>
      <w:bookmarkEnd w:id="253"/>
      <w:bookmarkStart w:id="254" w:name="_Toc184310307"/>
      <w:bookmarkEnd w:id="254"/>
      <w:bookmarkStart w:id="255" w:name="_Toc184313286"/>
      <w:bookmarkEnd w:id="255"/>
      <w:bookmarkStart w:id="256" w:name="_Toc184310321"/>
      <w:bookmarkEnd w:id="256"/>
      <w:bookmarkStart w:id="257" w:name="_Toc184310291"/>
      <w:bookmarkEnd w:id="257"/>
      <w:bookmarkStart w:id="258" w:name="_Toc184310320"/>
      <w:bookmarkEnd w:id="258"/>
      <w:bookmarkStart w:id="259" w:name="_Toc184313263"/>
      <w:bookmarkEnd w:id="259"/>
      <w:bookmarkStart w:id="260" w:name="_Toc184313296"/>
      <w:bookmarkEnd w:id="260"/>
      <w:bookmarkStart w:id="261" w:name="_Toc184308062"/>
      <w:bookmarkEnd w:id="261"/>
      <w:bookmarkStart w:id="262" w:name="_Toc184314455"/>
      <w:bookmarkEnd w:id="262"/>
      <w:bookmarkStart w:id="263" w:name="_Toc184312121"/>
      <w:bookmarkEnd w:id="263"/>
      <w:bookmarkStart w:id="264" w:name="_Toc184313291"/>
      <w:bookmarkEnd w:id="264"/>
      <w:bookmarkStart w:id="265" w:name="_Toc184314482"/>
      <w:bookmarkEnd w:id="265"/>
      <w:bookmarkStart w:id="266" w:name="_Toc184308067"/>
      <w:bookmarkEnd w:id="266"/>
      <w:bookmarkStart w:id="267" w:name="_Toc184312080"/>
      <w:bookmarkEnd w:id="267"/>
      <w:bookmarkStart w:id="268" w:name="_Toc184313271"/>
      <w:bookmarkEnd w:id="268"/>
      <w:bookmarkStart w:id="269" w:name="_Toc184312100"/>
      <w:bookmarkEnd w:id="269"/>
      <w:bookmarkStart w:id="270" w:name="_Toc184314468"/>
      <w:bookmarkEnd w:id="270"/>
      <w:bookmarkStart w:id="271" w:name="_Toc184312113"/>
      <w:bookmarkEnd w:id="271"/>
      <w:bookmarkStart w:id="272" w:name="_Toc184314441"/>
      <w:bookmarkEnd w:id="272"/>
      <w:bookmarkStart w:id="273" w:name="_Toc184308052"/>
      <w:bookmarkEnd w:id="273"/>
      <w:bookmarkStart w:id="274" w:name="_Toc184314481"/>
      <w:bookmarkEnd w:id="274"/>
      <w:bookmarkStart w:id="275" w:name="_Toc184313278"/>
      <w:bookmarkEnd w:id="275"/>
      <w:bookmarkStart w:id="276" w:name="_Toc184308074"/>
      <w:bookmarkEnd w:id="276"/>
      <w:bookmarkStart w:id="277" w:name="_Toc184310314"/>
      <w:bookmarkEnd w:id="277"/>
      <w:bookmarkStart w:id="278" w:name="_Toc184314449"/>
      <w:bookmarkEnd w:id="278"/>
      <w:bookmarkStart w:id="279" w:name="_Toc184312108"/>
      <w:bookmarkEnd w:id="279"/>
      <w:bookmarkStart w:id="280" w:name="_Toc184312101"/>
      <w:bookmarkEnd w:id="280"/>
      <w:bookmarkStart w:id="281" w:name="_Toc184312116"/>
      <w:bookmarkEnd w:id="281"/>
      <w:bookmarkStart w:id="282" w:name="_Toc184313242"/>
      <w:bookmarkEnd w:id="282"/>
      <w:bookmarkStart w:id="283" w:name="_Toc184314419"/>
      <w:bookmarkEnd w:id="283"/>
      <w:bookmarkStart w:id="284" w:name="_Toc184314476"/>
      <w:bookmarkEnd w:id="284"/>
      <w:bookmarkStart w:id="285" w:name="_Toc184313252"/>
      <w:bookmarkEnd w:id="285"/>
      <w:bookmarkStart w:id="286" w:name="_Toc184313249"/>
      <w:bookmarkEnd w:id="286"/>
      <w:bookmarkStart w:id="287" w:name="_Toc184310334"/>
      <w:bookmarkEnd w:id="287"/>
      <w:bookmarkStart w:id="288" w:name="_Toc184314421"/>
      <w:bookmarkEnd w:id="288"/>
      <w:bookmarkStart w:id="289" w:name="_Toc184310329"/>
      <w:bookmarkEnd w:id="289"/>
      <w:bookmarkStart w:id="290" w:name="_Toc184314431"/>
      <w:bookmarkEnd w:id="290"/>
      <w:bookmarkStart w:id="291" w:name="_Toc184313245"/>
      <w:bookmarkEnd w:id="291"/>
      <w:bookmarkStart w:id="292" w:name="_Toc184314465"/>
      <w:bookmarkEnd w:id="292"/>
      <w:bookmarkStart w:id="293" w:name="_Toc184312109"/>
      <w:bookmarkEnd w:id="293"/>
      <w:bookmarkStart w:id="294" w:name="_Toc184312124"/>
      <w:bookmarkEnd w:id="294"/>
      <w:bookmarkStart w:id="295" w:name="_Toc184310340"/>
      <w:bookmarkEnd w:id="295"/>
      <w:bookmarkStart w:id="296" w:name="_Toc184308098"/>
      <w:bookmarkEnd w:id="296"/>
      <w:bookmarkStart w:id="297" w:name="_Toc184314423"/>
      <w:bookmarkEnd w:id="297"/>
      <w:bookmarkStart w:id="298" w:name="_Toc184308037"/>
      <w:bookmarkEnd w:id="298"/>
      <w:bookmarkStart w:id="299" w:name="_Toc184313282"/>
      <w:bookmarkEnd w:id="299"/>
      <w:bookmarkStart w:id="300" w:name="_Toc184312129"/>
      <w:bookmarkEnd w:id="300"/>
      <w:bookmarkStart w:id="301" w:name="_Toc184314415"/>
      <w:bookmarkEnd w:id="301"/>
      <w:bookmarkStart w:id="302" w:name="_Toc184312112"/>
      <w:bookmarkEnd w:id="302"/>
      <w:bookmarkStart w:id="303" w:name="_Toc184312069"/>
      <w:bookmarkEnd w:id="303"/>
      <w:bookmarkStart w:id="304" w:name="_Toc184310326"/>
      <w:bookmarkEnd w:id="304"/>
      <w:bookmarkStart w:id="305" w:name="_Toc184312072"/>
      <w:bookmarkEnd w:id="305"/>
      <w:bookmarkStart w:id="306" w:name="_Toc184314475"/>
      <w:bookmarkEnd w:id="306"/>
      <w:bookmarkStart w:id="307" w:name="_Toc184308069"/>
      <w:bookmarkEnd w:id="307"/>
      <w:bookmarkStart w:id="308" w:name="_Toc184314424"/>
      <w:bookmarkEnd w:id="308"/>
      <w:bookmarkStart w:id="309" w:name="_Toc184312106"/>
      <w:bookmarkEnd w:id="309"/>
      <w:bookmarkStart w:id="310" w:name="_Toc184313272"/>
      <w:bookmarkEnd w:id="310"/>
      <w:bookmarkStart w:id="311" w:name="_Toc184312133"/>
      <w:bookmarkEnd w:id="311"/>
      <w:bookmarkStart w:id="312" w:name="_Toc184312125"/>
      <w:bookmarkEnd w:id="312"/>
      <w:bookmarkStart w:id="313" w:name="_Toc184308093"/>
      <w:bookmarkEnd w:id="313"/>
      <w:bookmarkStart w:id="314" w:name="_Toc184312085"/>
      <w:bookmarkEnd w:id="314"/>
      <w:bookmarkStart w:id="315" w:name="_Toc184313310"/>
      <w:bookmarkEnd w:id="315"/>
      <w:bookmarkStart w:id="316" w:name="_Toc184313284"/>
      <w:bookmarkEnd w:id="316"/>
      <w:bookmarkStart w:id="317" w:name="_Toc184313273"/>
      <w:bookmarkEnd w:id="317"/>
      <w:bookmarkStart w:id="318" w:name="_Toc184308072"/>
      <w:bookmarkEnd w:id="318"/>
      <w:bookmarkStart w:id="319" w:name="_Toc184308084"/>
      <w:bookmarkEnd w:id="319"/>
      <w:bookmarkStart w:id="320" w:name="_Toc184308088"/>
      <w:bookmarkEnd w:id="320"/>
      <w:bookmarkStart w:id="321" w:name="_Toc184308048"/>
      <w:bookmarkEnd w:id="321"/>
      <w:bookmarkStart w:id="322" w:name="_Toc184314459"/>
      <w:bookmarkEnd w:id="322"/>
      <w:bookmarkStart w:id="323" w:name="_Toc184310293"/>
      <w:bookmarkEnd w:id="323"/>
      <w:bookmarkStart w:id="324" w:name="_Toc184310283"/>
      <w:bookmarkEnd w:id="324"/>
      <w:bookmarkStart w:id="325" w:name="_Toc184312114"/>
      <w:bookmarkEnd w:id="325"/>
      <w:bookmarkStart w:id="326" w:name="_Toc184308036"/>
      <w:bookmarkEnd w:id="326"/>
      <w:bookmarkStart w:id="327" w:name="_Toc184313305"/>
      <w:bookmarkEnd w:id="327"/>
      <w:bookmarkStart w:id="328" w:name="_Toc184308051"/>
      <w:bookmarkEnd w:id="328"/>
      <w:bookmarkStart w:id="329" w:name="_Toc184312088"/>
      <w:bookmarkEnd w:id="329"/>
      <w:bookmarkStart w:id="330" w:name="_Toc184312137"/>
      <w:bookmarkEnd w:id="330"/>
      <w:bookmarkStart w:id="331" w:name="_Toc184313243"/>
      <w:bookmarkEnd w:id="331"/>
      <w:bookmarkStart w:id="332" w:name="_Toc184310280"/>
      <w:bookmarkEnd w:id="332"/>
      <w:bookmarkStart w:id="333" w:name="_Toc184310312"/>
      <w:bookmarkEnd w:id="333"/>
      <w:bookmarkStart w:id="334" w:name="_Toc184310287"/>
      <w:bookmarkEnd w:id="334"/>
      <w:bookmarkStart w:id="335" w:name="_Toc184308064"/>
      <w:bookmarkEnd w:id="335"/>
      <w:bookmarkStart w:id="336" w:name="_Toc184308038"/>
      <w:bookmarkEnd w:id="336"/>
      <w:bookmarkStart w:id="337" w:name="_Toc184314472"/>
      <w:bookmarkEnd w:id="337"/>
      <w:bookmarkStart w:id="338" w:name="_Toc184314463"/>
      <w:bookmarkEnd w:id="338"/>
      <w:bookmarkStart w:id="339" w:name="_Toc184308039"/>
      <w:bookmarkEnd w:id="339"/>
      <w:bookmarkStart w:id="340" w:name="_Toc184308070"/>
      <w:bookmarkEnd w:id="340"/>
      <w:bookmarkStart w:id="341" w:name="_Toc184310342"/>
      <w:bookmarkEnd w:id="341"/>
      <w:bookmarkStart w:id="342" w:name="_Toc184312102"/>
      <w:bookmarkEnd w:id="342"/>
      <w:bookmarkStart w:id="343" w:name="_Toc184314448"/>
      <w:bookmarkEnd w:id="343"/>
      <w:bookmarkStart w:id="344" w:name="_Toc184312128"/>
      <w:bookmarkEnd w:id="344"/>
      <w:bookmarkStart w:id="345" w:name="_Toc184313297"/>
      <w:bookmarkEnd w:id="345"/>
      <w:bookmarkStart w:id="346" w:name="_Toc184310305"/>
      <w:bookmarkEnd w:id="346"/>
      <w:bookmarkStart w:id="347" w:name="_Toc184313299"/>
      <w:bookmarkEnd w:id="347"/>
      <w:bookmarkStart w:id="348" w:name="_Toc184313276"/>
      <w:bookmarkEnd w:id="348"/>
      <w:bookmarkStart w:id="349" w:name="_Toc184310343"/>
      <w:bookmarkEnd w:id="349"/>
      <w:bookmarkStart w:id="350" w:name="_Toc184313301"/>
      <w:bookmarkEnd w:id="350"/>
      <w:bookmarkStart w:id="351" w:name="_Toc184308054"/>
      <w:bookmarkEnd w:id="351"/>
      <w:bookmarkStart w:id="352" w:name="_Toc184308107"/>
      <w:bookmarkEnd w:id="352"/>
      <w:bookmarkStart w:id="353" w:name="_Toc184312067"/>
      <w:bookmarkEnd w:id="353"/>
      <w:bookmarkStart w:id="354" w:name="_Toc184310319"/>
      <w:bookmarkEnd w:id="354"/>
      <w:bookmarkStart w:id="355" w:name="_Toc184312073"/>
      <w:bookmarkEnd w:id="355"/>
      <w:bookmarkStart w:id="356" w:name="_Toc184308089"/>
      <w:bookmarkEnd w:id="356"/>
      <w:bookmarkStart w:id="357" w:name="_Toc184310289"/>
      <w:bookmarkEnd w:id="357"/>
      <w:bookmarkStart w:id="358" w:name="_Toc184312104"/>
      <w:bookmarkEnd w:id="358"/>
      <w:bookmarkStart w:id="359" w:name="_Toc184312115"/>
      <w:bookmarkEnd w:id="359"/>
      <w:bookmarkStart w:id="360" w:name="_Toc184308043"/>
      <w:bookmarkEnd w:id="360"/>
      <w:bookmarkStart w:id="361" w:name="_Toc184313270"/>
      <w:bookmarkEnd w:id="361"/>
      <w:bookmarkStart w:id="362" w:name="_Toc184310277"/>
      <w:bookmarkEnd w:id="362"/>
      <w:bookmarkStart w:id="363" w:name="_Toc184314412"/>
      <w:bookmarkEnd w:id="363"/>
      <w:bookmarkStart w:id="364" w:name="_Toc184314418"/>
      <w:bookmarkEnd w:id="364"/>
      <w:bookmarkStart w:id="365" w:name="_Toc184313253"/>
      <w:bookmarkEnd w:id="365"/>
      <w:bookmarkStart w:id="366" w:name="_Toc184314430"/>
      <w:bookmarkEnd w:id="366"/>
      <w:bookmarkStart w:id="367" w:name="_Toc184310339"/>
      <w:bookmarkEnd w:id="367"/>
      <w:bookmarkStart w:id="368" w:name="_Toc184314445"/>
      <w:bookmarkEnd w:id="368"/>
      <w:bookmarkStart w:id="369" w:name="_Toc184310284"/>
      <w:bookmarkEnd w:id="369"/>
      <w:bookmarkStart w:id="370" w:name="_Toc184310304"/>
      <w:bookmarkEnd w:id="370"/>
      <w:bookmarkStart w:id="371" w:name="_Toc184314469"/>
      <w:bookmarkEnd w:id="371"/>
      <w:bookmarkStart w:id="372" w:name="_Toc184308045"/>
      <w:bookmarkEnd w:id="372"/>
      <w:bookmarkStart w:id="373" w:name="_Toc184308104"/>
      <w:bookmarkEnd w:id="373"/>
      <w:bookmarkStart w:id="374" w:name="_Toc184314470"/>
      <w:bookmarkEnd w:id="374"/>
      <w:bookmarkStart w:id="375" w:name="_Toc184310313"/>
      <w:bookmarkEnd w:id="375"/>
      <w:bookmarkStart w:id="376" w:name="_Toc184313269"/>
      <w:bookmarkEnd w:id="376"/>
      <w:bookmarkStart w:id="377" w:name="_Toc184312111"/>
      <w:bookmarkEnd w:id="377"/>
      <w:bookmarkStart w:id="378" w:name="_Toc184308073"/>
      <w:bookmarkEnd w:id="378"/>
      <w:bookmarkStart w:id="379" w:name="_Toc184310306"/>
      <w:bookmarkEnd w:id="379"/>
      <w:bookmarkStart w:id="380" w:name="_Toc184312098"/>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12" w:lineRule="auto"/>
        <w:ind w:firstLine="482" w:firstLineChars="200"/>
        <w:jc w:val="left"/>
        <w:rPr>
          <w:rFonts w:ascii="宋体" w:hAnsi="宋体" w:cs="宋体"/>
          <w:b/>
          <w:bCs/>
          <w:color w:val="auto"/>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商务技术部分（</w:t>
      </w:r>
      <w:r>
        <w:rPr>
          <w:rFonts w:hint="eastAsia" w:ascii="宋体" w:hAnsi="宋体" w:cs="宋体"/>
          <w:b/>
          <w:bCs/>
          <w:color w:val="auto"/>
          <w:kern w:val="0"/>
          <w:sz w:val="24"/>
          <w:highlight w:val="none"/>
          <w:lang w:val="en-US" w:eastAsia="zh-CN"/>
        </w:rPr>
        <w:t>80</w:t>
      </w:r>
      <w:r>
        <w:rPr>
          <w:rFonts w:hint="eastAsia" w:ascii="宋体" w:hAnsi="宋体" w:cs="宋体"/>
          <w:b/>
          <w:bCs/>
          <w:color w:val="auto"/>
          <w:kern w:val="0"/>
          <w:sz w:val="24"/>
          <w:highlight w:val="none"/>
        </w:rPr>
        <w:t>分）</w:t>
      </w:r>
    </w:p>
    <w:tbl>
      <w:tblPr>
        <w:tblStyle w:val="6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评审内容及分值</w:t>
            </w:r>
          </w:p>
        </w:tc>
        <w:tc>
          <w:tcPr>
            <w:tcW w:w="992" w:type="dxa"/>
            <w:noWrap w:val="0"/>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评分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区间</w:t>
            </w:r>
          </w:p>
        </w:tc>
        <w:tc>
          <w:tcPr>
            <w:tcW w:w="850" w:type="dxa"/>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商 务</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资 信</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（30分）</w:t>
            </w:r>
          </w:p>
        </w:tc>
        <w:tc>
          <w:tcPr>
            <w:tcW w:w="6760" w:type="dxa"/>
            <w:noWrap w:val="0"/>
            <w:vAlign w:val="center"/>
          </w:tcPr>
          <w:p>
            <w:pPr>
              <w:spacing w:line="240" w:lineRule="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cs="Times New Roman"/>
                <w:color w:val="auto"/>
                <w:sz w:val="24"/>
                <w:highlight w:val="none"/>
                <w:lang w:val="en-US" w:eastAsia="zh-CN"/>
              </w:rPr>
              <w:t>供应商</w:t>
            </w:r>
            <w:r>
              <w:rPr>
                <w:rFonts w:hint="eastAsia" w:ascii="宋体" w:hAnsi="宋体"/>
                <w:color w:val="auto"/>
                <w:sz w:val="24"/>
                <w:highlight w:val="none"/>
              </w:rPr>
              <w:t>综合实力、履约能力等情况综合评定</w:t>
            </w:r>
          </w:p>
        </w:tc>
        <w:tc>
          <w:tcPr>
            <w:tcW w:w="992" w:type="dxa"/>
            <w:noWrap w:val="0"/>
            <w:vAlign w:val="center"/>
          </w:tcPr>
          <w:p>
            <w:pPr>
              <w:spacing w:line="240" w:lineRule="auto"/>
              <w:jc w:val="center"/>
              <w:rPr>
                <w:rFonts w:hint="default" w:ascii="宋体" w:hAnsi="宋体" w:eastAsia="宋体" w:cs="宋体"/>
                <w:color w:val="auto"/>
                <w:sz w:val="24"/>
                <w:highlight w:val="none"/>
                <w:shd w:val="clear" w:color="FFFFFF" w:fill="D9D9D9"/>
                <w:lang w:val="en-US" w:eastAsia="zh-CN"/>
              </w:rPr>
            </w:pPr>
            <w:r>
              <w:rPr>
                <w:rFonts w:hint="eastAsia" w:ascii="宋体" w:hAnsi="宋体"/>
                <w:color w:val="auto"/>
                <w:sz w:val="24"/>
                <w:highlight w:val="none"/>
                <w:lang w:val="en-US" w:eastAsia="zh-CN"/>
              </w:rPr>
              <w:t>4分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具有</w:t>
            </w:r>
            <w:r>
              <w:rPr>
                <w:rFonts w:hint="eastAsia" w:ascii="宋体" w:hAnsi="宋体" w:cs="Times New Roman"/>
                <w:color w:val="auto"/>
                <w:sz w:val="24"/>
                <w:highlight w:val="none"/>
                <w:lang w:val="en-US" w:eastAsia="zh-CN"/>
              </w:rPr>
              <w:t>售后服务认证证书（含</w:t>
            </w:r>
            <w:r>
              <w:rPr>
                <w:rFonts w:hint="eastAsia" w:ascii="宋体" w:hAnsi="宋体" w:eastAsia="宋体" w:cs="Times New Roman"/>
                <w:color w:val="auto"/>
                <w:sz w:val="24"/>
                <w:highlight w:val="none"/>
                <w:lang w:eastAsia="zh-CN"/>
              </w:rPr>
              <w:t>外教派遣服务</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五星级</w:t>
            </w:r>
            <w:r>
              <w:rPr>
                <w:rFonts w:hint="eastAsia" w:ascii="宋体" w:hAnsi="宋体" w:cs="Times New Roman"/>
                <w:color w:val="auto"/>
                <w:sz w:val="24"/>
                <w:highlight w:val="none"/>
                <w:lang w:val="en-US" w:eastAsia="zh-CN"/>
              </w:rPr>
              <w:t>标准的</w:t>
            </w:r>
            <w:r>
              <w:rPr>
                <w:rFonts w:hint="eastAsia" w:ascii="宋体" w:hAnsi="宋体" w:eastAsia="宋体" w:cs="Times New Roman"/>
                <w:color w:val="auto"/>
                <w:sz w:val="24"/>
                <w:highlight w:val="none"/>
                <w:lang w:eastAsia="zh-CN"/>
              </w:rPr>
              <w:t>得</w:t>
            </w:r>
            <w:r>
              <w:rPr>
                <w:rFonts w:hint="eastAsia" w:ascii="宋体" w:hAnsi="宋体" w:eastAsia="宋体" w:cs="Times New Roman"/>
                <w:color w:val="auto"/>
                <w:sz w:val="24"/>
                <w:highlight w:val="none"/>
                <w:lang w:val="en-US" w:eastAsia="zh-CN"/>
              </w:rPr>
              <w:t>3分，四星级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得2分，三星级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得1分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（证书须在有效期内</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响应</w:t>
            </w:r>
            <w:r>
              <w:rPr>
                <w:rFonts w:hint="eastAsia" w:ascii="宋体" w:hAnsi="宋体" w:eastAsia="宋体" w:cs="Times New Roman"/>
                <w:color w:val="auto"/>
                <w:sz w:val="24"/>
                <w:highlight w:val="none"/>
              </w:rPr>
              <w:t>文件中提供证书</w:t>
            </w:r>
            <w:r>
              <w:rPr>
                <w:rFonts w:hint="eastAsia" w:ascii="宋体" w:hAnsi="宋体" w:cs="Times New Roman"/>
                <w:color w:val="auto"/>
                <w:sz w:val="24"/>
                <w:highlight w:val="none"/>
                <w:lang w:val="en-US" w:eastAsia="zh-CN"/>
              </w:rPr>
              <w:t>材料</w:t>
            </w:r>
            <w:r>
              <w:rPr>
                <w:rFonts w:hint="eastAsia" w:ascii="宋体" w:hAnsi="宋体" w:eastAsia="宋体" w:cs="Times New Roman"/>
                <w:color w:val="auto"/>
                <w:sz w:val="24"/>
                <w:highlight w:val="none"/>
              </w:rPr>
              <w:t>）</w:t>
            </w:r>
          </w:p>
        </w:tc>
        <w:tc>
          <w:tcPr>
            <w:tcW w:w="992" w:type="dxa"/>
            <w:noWrap w:val="0"/>
            <w:vAlign w:val="center"/>
          </w:tcPr>
          <w:p>
            <w:pPr>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具有</w:t>
            </w:r>
            <w:r>
              <w:rPr>
                <w:rFonts w:hint="eastAsia" w:ascii="宋体" w:hAnsi="宋体" w:cs="Times New Roman"/>
                <w:color w:val="auto"/>
                <w:sz w:val="24"/>
                <w:highlight w:val="none"/>
                <w:lang w:val="en-US" w:eastAsia="zh-CN"/>
              </w:rPr>
              <w:t>人力资源外包服务认证证书（含</w:t>
            </w:r>
            <w:r>
              <w:rPr>
                <w:rFonts w:hint="eastAsia" w:ascii="宋体" w:hAnsi="宋体" w:eastAsia="宋体" w:cs="Times New Roman"/>
                <w:color w:val="auto"/>
                <w:sz w:val="24"/>
                <w:highlight w:val="none"/>
                <w:lang w:eastAsia="zh-CN"/>
              </w:rPr>
              <w:t>外教派遣服务</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五星级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eastAsia="zh-CN"/>
              </w:rPr>
              <w:t>得</w:t>
            </w:r>
            <w:r>
              <w:rPr>
                <w:rFonts w:hint="eastAsia" w:ascii="宋体" w:hAnsi="宋体" w:eastAsia="宋体" w:cs="Times New Roman"/>
                <w:color w:val="auto"/>
                <w:sz w:val="24"/>
                <w:highlight w:val="none"/>
                <w:lang w:val="en-US" w:eastAsia="zh-CN"/>
              </w:rPr>
              <w:t>3分，四星级得</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2分，三星级得</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1分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（证书须在有效期内</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响应</w:t>
            </w:r>
            <w:r>
              <w:rPr>
                <w:rFonts w:hint="eastAsia" w:ascii="宋体" w:hAnsi="宋体" w:eastAsia="宋体" w:cs="Times New Roman"/>
                <w:color w:val="auto"/>
                <w:sz w:val="24"/>
                <w:highlight w:val="none"/>
              </w:rPr>
              <w:t>文件中提供证书</w:t>
            </w:r>
            <w:r>
              <w:rPr>
                <w:rFonts w:hint="eastAsia" w:ascii="宋体" w:hAnsi="宋体" w:cs="Times New Roman"/>
                <w:color w:val="auto"/>
                <w:sz w:val="24"/>
                <w:highlight w:val="none"/>
                <w:lang w:val="en-US" w:eastAsia="zh-CN"/>
              </w:rPr>
              <w:t>材料</w:t>
            </w:r>
            <w:r>
              <w:rPr>
                <w:rFonts w:hint="eastAsia" w:ascii="宋体" w:hAnsi="宋体" w:eastAsia="宋体" w:cs="Times New Roman"/>
                <w:color w:val="auto"/>
                <w:sz w:val="24"/>
                <w:highlight w:val="none"/>
              </w:rPr>
              <w:t>）</w:t>
            </w:r>
          </w:p>
        </w:tc>
        <w:tc>
          <w:tcPr>
            <w:tcW w:w="992" w:type="dxa"/>
            <w:noWrap w:val="0"/>
            <w:vAlign w:val="center"/>
          </w:tcPr>
          <w:p>
            <w:pPr>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ascii="宋体" w:hAnsi="宋体" w:cs="宋体"/>
                <w:color w:val="auto"/>
                <w:sz w:val="24"/>
                <w:highlight w:val="none"/>
              </w:rPr>
            </w:pPr>
            <w:r>
              <w:rPr>
                <w:rFonts w:hint="eastAsia" w:ascii="宋体" w:hAnsi="宋体"/>
                <w:color w:val="auto"/>
                <w:sz w:val="24"/>
                <w:highlight w:val="none"/>
                <w:lang w:val="en-US" w:eastAsia="zh-CN"/>
              </w:rPr>
              <w:t>供应商自</w:t>
            </w:r>
            <w:r>
              <w:rPr>
                <w:rFonts w:hint="eastAsia" w:ascii="宋体" w:hAnsi="宋体"/>
                <w:color w:val="auto"/>
                <w:sz w:val="24"/>
                <w:highlight w:val="none"/>
              </w:rPr>
              <w:t>2</w:t>
            </w:r>
            <w:r>
              <w:rPr>
                <w:rFonts w:ascii="宋体" w:hAnsi="宋体"/>
                <w:color w:val="auto"/>
                <w:sz w:val="24"/>
                <w:highlight w:val="none"/>
              </w:rPr>
              <w:t>021</w:t>
            </w:r>
            <w:r>
              <w:rPr>
                <w:rFonts w:hint="eastAsia" w:ascii="宋体" w:hAnsi="宋体"/>
                <w:color w:val="auto"/>
                <w:sz w:val="24"/>
                <w:highlight w:val="none"/>
              </w:rPr>
              <w:t>年1月1日起</w:t>
            </w:r>
            <w:r>
              <w:rPr>
                <w:rFonts w:hint="eastAsia" w:ascii="宋体" w:hAnsi="宋体"/>
                <w:color w:val="auto"/>
                <w:sz w:val="24"/>
                <w:highlight w:val="none"/>
                <w:lang w:val="en-US" w:eastAsia="zh-CN"/>
              </w:rPr>
              <w:t>具有</w:t>
            </w:r>
            <w:r>
              <w:rPr>
                <w:rFonts w:hint="eastAsia" w:ascii="宋体" w:hAnsi="宋体"/>
                <w:color w:val="auto"/>
                <w:sz w:val="24"/>
                <w:highlight w:val="none"/>
              </w:rPr>
              <w:t>类似项目业绩数量达到1</w:t>
            </w:r>
            <w:r>
              <w:rPr>
                <w:rFonts w:ascii="宋体" w:hAnsi="宋体"/>
                <w:color w:val="auto"/>
                <w:sz w:val="24"/>
                <w:highlight w:val="none"/>
              </w:rPr>
              <w:t>0</w:t>
            </w:r>
            <w:r>
              <w:rPr>
                <w:rFonts w:hint="eastAsia" w:ascii="宋体" w:hAnsi="宋体"/>
                <w:color w:val="auto"/>
                <w:sz w:val="24"/>
                <w:highlight w:val="none"/>
              </w:rPr>
              <w:t>所学校</w:t>
            </w:r>
            <w:r>
              <w:rPr>
                <w:rFonts w:hint="eastAsia" w:ascii="宋体" w:hAnsi="宋体"/>
                <w:color w:val="auto"/>
                <w:sz w:val="24"/>
                <w:highlight w:val="none"/>
                <w:lang w:val="en-US" w:eastAsia="zh-CN"/>
              </w:rPr>
              <w:t>的</w:t>
            </w:r>
            <w:r>
              <w:rPr>
                <w:rFonts w:hint="eastAsia" w:ascii="宋体" w:hAnsi="宋体"/>
                <w:color w:val="auto"/>
                <w:sz w:val="24"/>
                <w:highlight w:val="none"/>
              </w:rPr>
              <w:t>得2分，每增加一所再加1分，最高得</w:t>
            </w:r>
            <w:r>
              <w:rPr>
                <w:rFonts w:ascii="宋体" w:hAnsi="宋体"/>
                <w:color w:val="auto"/>
                <w:sz w:val="24"/>
                <w:highlight w:val="none"/>
              </w:rPr>
              <w:t>20</w:t>
            </w:r>
            <w:r>
              <w:rPr>
                <w:rFonts w:hint="eastAsia" w:ascii="宋体" w:hAnsi="宋体"/>
                <w:color w:val="auto"/>
                <w:sz w:val="24"/>
                <w:highlight w:val="none"/>
              </w:rPr>
              <w:t>分。（项目业绩培训机构除外，提供合同及对应发票</w:t>
            </w:r>
            <w:r>
              <w:rPr>
                <w:rFonts w:hint="eastAsia" w:ascii="宋体" w:hAnsi="宋体"/>
                <w:color w:val="auto"/>
                <w:sz w:val="24"/>
                <w:highlight w:val="none"/>
                <w:lang w:val="en-US" w:eastAsia="zh-CN"/>
              </w:rPr>
              <w:t>材料</w:t>
            </w:r>
            <w:r>
              <w:rPr>
                <w:rFonts w:hint="eastAsia" w:ascii="宋体" w:hAnsi="宋体"/>
                <w:color w:val="auto"/>
                <w:sz w:val="24"/>
                <w:highlight w:val="none"/>
              </w:rPr>
              <w:t>）</w:t>
            </w:r>
          </w:p>
        </w:tc>
        <w:tc>
          <w:tcPr>
            <w:tcW w:w="992" w:type="dxa"/>
            <w:noWrap w:val="0"/>
            <w:vAlign w:val="center"/>
          </w:tcPr>
          <w:p>
            <w:pPr>
              <w:spacing w:line="240" w:lineRule="auto"/>
              <w:jc w:val="center"/>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技</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术</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（50分）</w:t>
            </w:r>
          </w:p>
        </w:tc>
        <w:tc>
          <w:tcPr>
            <w:tcW w:w="6760" w:type="dxa"/>
            <w:noWrap w:val="0"/>
            <w:vAlign w:val="center"/>
          </w:tcPr>
          <w:p>
            <w:pPr>
              <w:adjustRightInd w:val="0"/>
              <w:snapToGrid w:val="0"/>
              <w:spacing w:line="240" w:lineRule="auto"/>
              <w:rPr>
                <w:rFonts w:hint="eastAsia" w:ascii="宋体" w:hAnsi="宋体"/>
                <w:color w:val="auto"/>
                <w:sz w:val="24"/>
                <w:highlight w:val="none"/>
                <w:lang w:eastAsia="zh-CN"/>
              </w:rPr>
            </w:pPr>
            <w:r>
              <w:rPr>
                <w:rFonts w:hint="eastAsia" w:ascii="宋体" w:hAnsi="宋体"/>
                <w:color w:val="auto"/>
                <w:sz w:val="24"/>
                <w:highlight w:val="none"/>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color w:val="auto"/>
                <w:sz w:val="24"/>
                <w:highlight w:val="none"/>
                <w:lang w:eastAsia="zh-CN"/>
              </w:rPr>
              <w:t>。</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响应方案与需求的非常吻合，得10-12分；内容齐全，针对性较强，能较好满足需求得5-9分；方案内容前后不一致，针对性一般，需求基本满足得0-4分。</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rPr>
            </w:pPr>
            <w:r>
              <w:rPr>
                <w:rFonts w:hint="eastAsia" w:ascii="宋体" w:hAnsi="宋体"/>
                <w:color w:val="auto"/>
                <w:sz w:val="24"/>
                <w:highlight w:val="none"/>
              </w:rPr>
              <w:t>外籍教师管理制度（具有明确的外籍教师管理制度，外籍教师的责任、权利和义务与教学考核标准，与外籍教师签定的劳动合同版本，项目配备服务人员。</w:t>
            </w:r>
          </w:p>
          <w:p>
            <w:pPr>
              <w:adjustRightInd w:val="0"/>
              <w:snapToGrid w:val="0"/>
              <w:spacing w:line="240" w:lineRule="auto"/>
              <w:rPr>
                <w:rFonts w:hint="eastAsia" w:ascii="宋体" w:hAnsi="宋体" w:eastAsia="宋体" w:cs="宋体"/>
                <w:color w:val="auto"/>
                <w:sz w:val="24"/>
                <w:highlight w:val="none"/>
                <w:shd w:val="clear" w:color="FFFFFF" w:fill="D9D9D9"/>
                <w:lang w:eastAsia="zh-CN"/>
              </w:rPr>
            </w:pPr>
            <w:r>
              <w:rPr>
                <w:rFonts w:hint="eastAsia" w:ascii="宋体" w:hAnsi="宋体"/>
                <w:color w:val="auto"/>
                <w:sz w:val="24"/>
                <w:highlight w:val="none"/>
              </w:rPr>
              <w:t>制度内容完善，可实施性强得10-12分，制度内容较完善，可实施得5-9分，制度内容不够完善，但能实施0-4分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lang w:eastAsia="zh-CN"/>
              </w:rPr>
            </w:pPr>
            <w:r>
              <w:rPr>
                <w:rFonts w:hint="eastAsia" w:ascii="宋体" w:hAnsi="宋体"/>
                <w:color w:val="auto"/>
                <w:sz w:val="24"/>
                <w:highlight w:val="none"/>
              </w:rPr>
              <w:t>后勤保障服务计划（对本项目人员、服务情况或紧急情况所做出的保障服务方案）</w:t>
            </w:r>
            <w:r>
              <w:rPr>
                <w:rFonts w:hint="eastAsia" w:ascii="宋体" w:hAnsi="宋体"/>
                <w:color w:val="auto"/>
                <w:sz w:val="24"/>
                <w:highlight w:val="none"/>
                <w:lang w:eastAsia="zh-CN"/>
              </w:rPr>
              <w:t>。</w:t>
            </w:r>
          </w:p>
          <w:p>
            <w:pPr>
              <w:adjustRightInd w:val="0"/>
              <w:snapToGrid w:val="0"/>
              <w:spacing w:line="240" w:lineRule="auto"/>
              <w:rPr>
                <w:rFonts w:hint="eastAsia" w:ascii="宋体" w:hAnsi="宋体" w:eastAsia="宋体" w:cs="宋体"/>
                <w:color w:val="auto"/>
                <w:sz w:val="24"/>
                <w:highlight w:val="none"/>
                <w:shd w:val="clear" w:color="FFFFFF" w:fill="D9D9D9"/>
                <w:lang w:eastAsia="zh-CN"/>
              </w:rPr>
            </w:pPr>
            <w:r>
              <w:rPr>
                <w:rFonts w:hint="eastAsia" w:ascii="宋体" w:hAnsi="宋体"/>
                <w:color w:val="auto"/>
                <w:sz w:val="24"/>
                <w:highlight w:val="none"/>
              </w:rPr>
              <w:t>方案内容完善、可实施性强得4-</w:t>
            </w:r>
            <w:r>
              <w:rPr>
                <w:rFonts w:hint="eastAsia" w:ascii="宋体" w:hAnsi="宋体"/>
                <w:color w:val="auto"/>
                <w:sz w:val="24"/>
                <w:highlight w:val="none"/>
                <w:lang w:val="en-US" w:eastAsia="zh-CN"/>
              </w:rPr>
              <w:t>7</w:t>
            </w:r>
            <w:r>
              <w:rPr>
                <w:rFonts w:hint="eastAsia" w:ascii="宋体" w:hAnsi="宋体"/>
                <w:color w:val="auto"/>
                <w:sz w:val="24"/>
                <w:highlight w:val="none"/>
              </w:rPr>
              <w:t>分，方案内容较完善可试用得2-3分，方案内容针对性不强得0-1分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rPr>
            </w:pPr>
            <w:r>
              <w:rPr>
                <w:rFonts w:hint="eastAsia" w:ascii="宋体" w:hAnsi="宋体"/>
                <w:color w:val="auto"/>
                <w:sz w:val="24"/>
                <w:highlight w:val="none"/>
              </w:rPr>
              <w:t>外籍教师培训及管理方案（外籍教师培训及管理措施针对外籍教师管理有可操作性。</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培训及管理有效落实得10-12分，较好落实得5-9分，落实情况一般得0-4。</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eastAsia="宋体"/>
                <w:color w:val="auto"/>
                <w:sz w:val="24"/>
                <w:highlight w:val="none"/>
                <w:lang w:eastAsia="zh-CN"/>
              </w:rPr>
            </w:pPr>
            <w:r>
              <w:rPr>
                <w:rFonts w:hint="eastAsia" w:ascii="宋体" w:hAnsi="宋体"/>
                <w:color w:val="auto"/>
                <w:sz w:val="24"/>
                <w:highlight w:val="none"/>
              </w:rPr>
              <w:t>服务质量保证措施（是否详细说明服务质量、外籍教师工资和福利保证承诺，是否具有保证项目进度的有效措施以及是否提供项目实施过程中突发事件处理机制与预案等）</w:t>
            </w:r>
            <w:r>
              <w:rPr>
                <w:rFonts w:hint="eastAsia" w:ascii="宋体" w:hAnsi="宋体"/>
                <w:color w:val="auto"/>
                <w:sz w:val="24"/>
                <w:highlight w:val="none"/>
                <w:lang w:eastAsia="zh-CN"/>
              </w:rPr>
              <w:t>。</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方案内容完善、可实施性强得4-</w:t>
            </w:r>
            <w:r>
              <w:rPr>
                <w:rFonts w:hint="eastAsia" w:ascii="宋体" w:hAnsi="宋体"/>
                <w:color w:val="auto"/>
                <w:sz w:val="24"/>
                <w:highlight w:val="none"/>
                <w:lang w:val="en-US" w:eastAsia="zh-CN"/>
              </w:rPr>
              <w:t>7</w:t>
            </w:r>
            <w:r>
              <w:rPr>
                <w:rFonts w:hint="eastAsia" w:ascii="宋体" w:hAnsi="宋体"/>
                <w:color w:val="auto"/>
                <w:sz w:val="24"/>
                <w:highlight w:val="none"/>
              </w:rPr>
              <w:t>分，方案内容较完善可试用得2-3分，方案内容针对性不强得0-1分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bl>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注：1）若交易人对供应商提供的证明资料要求为原件的，另行提出。</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napToGrid w:val="0"/>
        <w:spacing w:line="570" w:lineRule="exact"/>
        <w:rPr>
          <w:rFonts w:ascii="宋体" w:hAnsi="宋体" w:cs="宋体"/>
          <w:color w:val="auto"/>
          <w:sz w:val="24"/>
          <w:highlight w:val="none"/>
        </w:rPr>
      </w:pPr>
      <w:r>
        <w:rPr>
          <w:rFonts w:hint="eastAsia" w:ascii="宋体" w:hAnsi="宋体" w:cs="宋体"/>
          <w:color w:val="auto"/>
          <w:sz w:val="24"/>
          <w:highlight w:val="none"/>
        </w:rPr>
        <w:t>2、价格部分（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50"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50" w:type="dxa"/>
            <w:vAlign w:val="center"/>
          </w:tcPr>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32"/>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pPr>
        <w:adjustRightInd/>
        <w:spacing w:line="570" w:lineRule="exact"/>
        <w:rPr>
          <w:rFonts w:ascii="宋体" w:hAnsi="宋体" w:cs="宋体"/>
          <w:color w:val="auto"/>
          <w:kern w:val="0"/>
          <w:sz w:val="24"/>
          <w:highlight w:val="none"/>
        </w:rPr>
      </w:pPr>
      <w:r>
        <w:rPr>
          <w:rFonts w:hint="eastAsia" w:ascii="宋体" w:hAnsi="宋体" w:cs="宋体"/>
          <w:b/>
          <w:color w:val="auto"/>
          <w:sz w:val="32"/>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pacing w:line="57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w:t>
      </w:r>
      <w:r>
        <w:rPr>
          <w:rFonts w:hint="eastAsia" w:ascii="宋体" w:hAnsi="宋体" w:cs="宋体"/>
          <w:b/>
          <w:color w:val="auto"/>
          <w:sz w:val="32"/>
          <w:highlight w:val="none"/>
        </w:rPr>
        <w:t>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3.4.3交易报价超过交易文件中规定的预算金额或者最高限价的，交易无效。</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pPr>
        <w:spacing w:line="570" w:lineRule="exact"/>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570" w:lineRule="exac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4.2.4响应文件含有交易人不能接受的附加条件的；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4.2.5响应文件中承诺的交易有效期少于交易文件中载明的交易有效期的；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4.2.7交易报价超过交易文件中规定的预算金额或者最高限价的;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4.2.11供应商有恶意串通、妨碍其他供应商的竞争行为、损害交易人或者其他供应商的合法权益情形的；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4.2.12供应商仅提交备份响应文件，未在电子交易平台传输递交响应文件的，交易无效；</w:t>
      </w:r>
    </w:p>
    <w:p>
      <w:pPr>
        <w:pStyle w:val="6"/>
        <w:spacing w:line="57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4.2.13响应文件不满足交易文件的其它实质性要求的；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570" w:lineRule="exact"/>
        <w:rPr>
          <w:rFonts w:cs="宋体"/>
          <w:color w:val="auto"/>
          <w:highlight w:val="none"/>
        </w:rPr>
      </w:pPr>
      <w:r>
        <w:rPr>
          <w:rFonts w:hint="eastAsia" w:cs="宋体"/>
          <w:color w:val="auto"/>
          <w:highlight w:val="none"/>
        </w:rPr>
        <w:t>5.1符合专业条件的供应商或者对交易文件作实质响应的供应商不足3家的；</w:t>
      </w:r>
    </w:p>
    <w:p>
      <w:pPr>
        <w:pStyle w:val="3"/>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3"/>
        <w:snapToGrid w:val="0"/>
        <w:spacing w:line="570" w:lineRule="exact"/>
        <w:rPr>
          <w:rFonts w:cs="宋体"/>
          <w:color w:val="auto"/>
          <w:highlight w:val="none"/>
        </w:rPr>
      </w:pPr>
      <w:r>
        <w:rPr>
          <w:rFonts w:hint="eastAsia" w:cs="宋体"/>
          <w:color w:val="auto"/>
          <w:highlight w:val="none"/>
        </w:rPr>
        <w:t>5.3供应商的报价均超过了采购预算，交易人不能支付的；</w:t>
      </w:r>
    </w:p>
    <w:p>
      <w:pPr>
        <w:pStyle w:val="3"/>
        <w:snapToGrid w:val="0"/>
        <w:spacing w:line="570" w:lineRule="exact"/>
        <w:rPr>
          <w:rFonts w:cs="宋体"/>
          <w:color w:val="auto"/>
          <w:highlight w:val="none"/>
        </w:rPr>
      </w:pPr>
      <w:r>
        <w:rPr>
          <w:rFonts w:hint="eastAsia" w:cs="宋体"/>
          <w:color w:val="auto"/>
          <w:highlight w:val="none"/>
        </w:rPr>
        <w:t>5.4因重大变故，采购任务取消的。</w:t>
      </w:r>
    </w:p>
    <w:p>
      <w:pPr>
        <w:pStyle w:val="3"/>
        <w:snapToGrid w:val="0"/>
        <w:spacing w:line="570" w:lineRule="exact"/>
        <w:rPr>
          <w:rFonts w:cs="宋体"/>
          <w:color w:val="auto"/>
          <w:highlight w:val="none"/>
        </w:rPr>
      </w:pPr>
      <w:r>
        <w:rPr>
          <w:rFonts w:hint="eastAsia" w:cs="宋体"/>
          <w:color w:val="auto"/>
          <w:highlight w:val="none"/>
        </w:rPr>
        <w:t>废标后，采购机构应当将废标理由通知所有供应商。</w:t>
      </w:r>
    </w:p>
    <w:p>
      <w:pPr>
        <w:pStyle w:val="3"/>
        <w:snapToGrid w:val="0"/>
        <w:spacing w:line="570" w:lineRule="exact"/>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pPr>
        <w:pStyle w:val="3"/>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3"/>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3"/>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3"/>
        <w:snapToGrid w:val="0"/>
        <w:spacing w:line="570" w:lineRule="exact"/>
        <w:ind w:firstLine="600" w:firstLineChars="250"/>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3"/>
        <w:snapToGrid w:val="0"/>
        <w:spacing w:line="570" w:lineRule="exact"/>
        <w:rPr>
          <w:rFonts w:cs="宋体"/>
          <w:color w:val="auto"/>
          <w:highlight w:val="none"/>
        </w:rPr>
      </w:pPr>
      <w:r>
        <w:rPr>
          <w:rFonts w:hint="eastAsia" w:cs="宋体"/>
          <w:color w:val="auto"/>
          <w:highlight w:val="none"/>
        </w:rPr>
        <w:t>7.4采购合同已经履行，给交易人、供应商造成损失的，由责任人承担赔偿责任。</w:t>
      </w:r>
    </w:p>
    <w:p>
      <w:pPr>
        <w:pStyle w:val="3"/>
        <w:snapToGrid w:val="0"/>
        <w:spacing w:line="570" w:lineRule="exact"/>
        <w:rPr>
          <w:rFonts w:cs="宋体"/>
          <w:color w:val="auto"/>
          <w:highlight w:val="none"/>
        </w:rPr>
      </w:pPr>
      <w:r>
        <w:rPr>
          <w:rFonts w:hint="eastAsia" w:cs="宋体"/>
          <w:color w:val="auto"/>
          <w:highlight w:val="none"/>
        </w:rPr>
        <w:t>7.5采购当事人有其他违反政府采购法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3"/>
        <w:snapToGrid w:val="0"/>
        <w:spacing w:line="360" w:lineRule="auto"/>
        <w:rPr>
          <w:rFonts w:cs="宋体"/>
          <w:color w:val="auto"/>
          <w:highlight w:val="none"/>
        </w:rPr>
      </w:pPr>
      <w:r>
        <w:rPr>
          <w:rFonts w:hint="eastAsia" w:cs="宋体"/>
          <w:color w:val="auto"/>
          <w:highlight w:val="none"/>
        </w:rPr>
        <w:t xml:space="preserve"> </w:t>
      </w:r>
    </w:p>
    <w:p>
      <w:pPr>
        <w:pStyle w:val="4"/>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                                 签订时间：20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甲方（需方）：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乙方（供方）：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供、需双方根据杭州市萧山区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）交易结果和交易文件的要求，并经双方协调一致，订立本合同。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一、合同文件：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3、交易文件。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4、更正公告。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5、成交单位响应文件。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w:t>
      </w:r>
    </w:p>
    <w:p>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二、合同金额: 本合同金额为(大写)_________________元（￥</w:t>
      </w:r>
      <w:r>
        <w:rPr>
          <w:rFonts w:hint="eastAsia" w:ascii="宋体" w:hAnsi="宋体" w:cs="宋体"/>
          <w:color w:val="auto"/>
          <w:sz w:val="24"/>
          <w:highlight w:val="none"/>
          <w:u w:val="single"/>
        </w:rPr>
        <w:t>　　　　</w:t>
      </w:r>
      <w:r>
        <w:rPr>
          <w:rFonts w:hint="eastAsia" w:ascii="宋体" w:hAnsi="宋体" w:cs="宋体"/>
          <w:color w:val="auto"/>
          <w:sz w:val="24"/>
          <w:highlight w:val="none"/>
        </w:rPr>
        <w:t>元）人民币附：</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1.乙方应按交易文件规定的时间向甲方提供有关技术资料。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乙方交纳人民币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元作为本合同的履约保证金。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六、转包或分包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七、服务质量保证期和服务质量保证金(选用)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服务质量保证期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年。（自验收合格之日起计）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服务质量保证金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八、合同履行时间、履行方式及履行地点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履行时间：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履行方式：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九、款项支付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2.合同履行完毕，需方根据合同进行验收，验收合格后供应商按结算要求办理货款结算手续。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十、税费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十一、质量保证及后续服务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乙方应按交易文件规定向甲方提供服务。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如在使用过程中发生问题，乙方在接到甲方通知后在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1.甲方无正当理由拒绝接收服务的，甲方向乙方偿付合同款项百分之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向乙方支付违约金。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5．如发现乙方违反交易文件和合同的有关规定，甲方有权根据约定对乙方进行处罚，并有权提前终止合同。</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十三、争议的解决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因本合同引起的或与本合同有关的任何争议，合同双方应首先通过协商解决，达成书面协议，如协商不成，可选择下列第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1.成交供应商持成交通知书作为与需方签订合同的凭证。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2.本合同经需、供双方法定代表人或其授权委托人签字并加盖单位公章后生效。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3.本合同一式四份，需、供双方各执二份。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需方（盖章）：                     供方（盖章）：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法定代表人（或委托代理人）签名：   法定代表人（或委托代理人）签名：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                         邮政编码：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rPr>
          <w:rFonts w:ascii="宋体" w:hAnsi="宋体" w:cs="宋体"/>
          <w:color w:val="auto"/>
          <w:sz w:val="24"/>
          <w:highlight w:val="none"/>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pPr>
        <w:pStyle w:val="52"/>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2.2.4评标标准相应的商务技术资料；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2.2.5响应标的清单；</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供应商廉洁自律承诺书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5"/>
        <w:rPr>
          <w:rFonts w:hAnsi="宋体" w:cs="宋体"/>
          <w:color w:val="auto"/>
          <w:highlight w:val="none"/>
          <w:lang w:val="en-US"/>
        </w:rPr>
      </w:pPr>
    </w:p>
    <w:p>
      <w:pPr>
        <w:jc w:val="center"/>
        <w:rPr>
          <w:rFonts w:ascii="宋体" w:hAnsi="宋体" w:cs="宋体"/>
          <w:b/>
          <w:color w:val="auto"/>
          <w:kern w:val="0"/>
          <w:sz w:val="32"/>
          <w:szCs w:val="32"/>
          <w:highlight w:val="none"/>
          <w:lang w:val="en-US"/>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（按交易文件第四部分交易办法前附表中“响应文件中评标标准相应的商务技术资料目录”提供资料。）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6"/>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质保要求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8A"/>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95B"/>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EE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28"/>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FC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8CA"/>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66"/>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154A32"/>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5F48A2"/>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B386D"/>
    <w:rsid w:val="09B06B87"/>
    <w:rsid w:val="09C13146"/>
    <w:rsid w:val="09E04166"/>
    <w:rsid w:val="0A1C0718"/>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551062"/>
    <w:rsid w:val="127723A9"/>
    <w:rsid w:val="12862074"/>
    <w:rsid w:val="12883966"/>
    <w:rsid w:val="129E45B4"/>
    <w:rsid w:val="12D21374"/>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E81DEE"/>
    <w:rsid w:val="16FE2244"/>
    <w:rsid w:val="172F2D79"/>
    <w:rsid w:val="17557BEF"/>
    <w:rsid w:val="17852075"/>
    <w:rsid w:val="17D349C1"/>
    <w:rsid w:val="1830729E"/>
    <w:rsid w:val="185134E3"/>
    <w:rsid w:val="1870062C"/>
    <w:rsid w:val="18817102"/>
    <w:rsid w:val="18830A15"/>
    <w:rsid w:val="18852B28"/>
    <w:rsid w:val="188B5321"/>
    <w:rsid w:val="18EE574D"/>
    <w:rsid w:val="19341F4D"/>
    <w:rsid w:val="19932372"/>
    <w:rsid w:val="19A20DD5"/>
    <w:rsid w:val="19AE03F1"/>
    <w:rsid w:val="19AF5A77"/>
    <w:rsid w:val="19D16EBE"/>
    <w:rsid w:val="19D7341C"/>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88086E"/>
    <w:rsid w:val="1CB654D6"/>
    <w:rsid w:val="1CC47A8B"/>
    <w:rsid w:val="1D266CE1"/>
    <w:rsid w:val="1D3963AF"/>
    <w:rsid w:val="1D6A673C"/>
    <w:rsid w:val="1D9247AE"/>
    <w:rsid w:val="1DB567EC"/>
    <w:rsid w:val="1DB754A5"/>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11116EB"/>
    <w:rsid w:val="211E01F0"/>
    <w:rsid w:val="216133FC"/>
    <w:rsid w:val="218944CA"/>
    <w:rsid w:val="21D56769"/>
    <w:rsid w:val="21D62C50"/>
    <w:rsid w:val="21E52EF3"/>
    <w:rsid w:val="21EE7D99"/>
    <w:rsid w:val="21FB5D7B"/>
    <w:rsid w:val="220B1C3D"/>
    <w:rsid w:val="221D1D20"/>
    <w:rsid w:val="22334A87"/>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4E3031"/>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D15014"/>
    <w:rsid w:val="2DE802CF"/>
    <w:rsid w:val="2DF72DE4"/>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733ACD"/>
    <w:rsid w:val="308C3862"/>
    <w:rsid w:val="309379D8"/>
    <w:rsid w:val="30A270F7"/>
    <w:rsid w:val="30DF1478"/>
    <w:rsid w:val="30EA055D"/>
    <w:rsid w:val="30EC586F"/>
    <w:rsid w:val="31377457"/>
    <w:rsid w:val="319C6071"/>
    <w:rsid w:val="31AC537E"/>
    <w:rsid w:val="31B420C4"/>
    <w:rsid w:val="31B82C24"/>
    <w:rsid w:val="31C549B6"/>
    <w:rsid w:val="31E3679B"/>
    <w:rsid w:val="31E732FD"/>
    <w:rsid w:val="323116EF"/>
    <w:rsid w:val="32517576"/>
    <w:rsid w:val="3262346C"/>
    <w:rsid w:val="327172D0"/>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552935"/>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4474B9"/>
    <w:rsid w:val="39636459"/>
    <w:rsid w:val="396B7F6C"/>
    <w:rsid w:val="39B417A9"/>
    <w:rsid w:val="39F5707E"/>
    <w:rsid w:val="39FC5695"/>
    <w:rsid w:val="3A006D8E"/>
    <w:rsid w:val="3A3651E5"/>
    <w:rsid w:val="3A3D1B7D"/>
    <w:rsid w:val="3A4E2342"/>
    <w:rsid w:val="3A656B1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E635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51073"/>
    <w:rsid w:val="3EAF4836"/>
    <w:rsid w:val="3EC33DFA"/>
    <w:rsid w:val="3EF66285"/>
    <w:rsid w:val="3F060E16"/>
    <w:rsid w:val="3F1D1096"/>
    <w:rsid w:val="3F2F0234"/>
    <w:rsid w:val="3F6363FE"/>
    <w:rsid w:val="3F756B8F"/>
    <w:rsid w:val="3F8D4B70"/>
    <w:rsid w:val="3F95482B"/>
    <w:rsid w:val="3FAF4907"/>
    <w:rsid w:val="3FD71055"/>
    <w:rsid w:val="3FE413B8"/>
    <w:rsid w:val="4019356B"/>
    <w:rsid w:val="40592157"/>
    <w:rsid w:val="406E1CAE"/>
    <w:rsid w:val="40A0133A"/>
    <w:rsid w:val="40C31A53"/>
    <w:rsid w:val="40FF545D"/>
    <w:rsid w:val="410067C8"/>
    <w:rsid w:val="413C45E3"/>
    <w:rsid w:val="4147433B"/>
    <w:rsid w:val="418F0D2A"/>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12A9B"/>
    <w:rsid w:val="452410C9"/>
    <w:rsid w:val="452E1696"/>
    <w:rsid w:val="45317DFB"/>
    <w:rsid w:val="456D3CE4"/>
    <w:rsid w:val="4579042C"/>
    <w:rsid w:val="457F0571"/>
    <w:rsid w:val="45851176"/>
    <w:rsid w:val="45C63B94"/>
    <w:rsid w:val="45F134FD"/>
    <w:rsid w:val="460E7DA5"/>
    <w:rsid w:val="46300F72"/>
    <w:rsid w:val="46422483"/>
    <w:rsid w:val="4659254A"/>
    <w:rsid w:val="465B0637"/>
    <w:rsid w:val="465E3F0D"/>
    <w:rsid w:val="466A16E6"/>
    <w:rsid w:val="46893F2B"/>
    <w:rsid w:val="46C4686E"/>
    <w:rsid w:val="473D0E4D"/>
    <w:rsid w:val="477B778F"/>
    <w:rsid w:val="478203EC"/>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982747"/>
    <w:rsid w:val="49B64211"/>
    <w:rsid w:val="49F6167F"/>
    <w:rsid w:val="4A064FA0"/>
    <w:rsid w:val="4A16615C"/>
    <w:rsid w:val="4A4424D7"/>
    <w:rsid w:val="4A6E0CA4"/>
    <w:rsid w:val="4A83134F"/>
    <w:rsid w:val="4AB82D0F"/>
    <w:rsid w:val="4AEB7664"/>
    <w:rsid w:val="4AFD7C19"/>
    <w:rsid w:val="4B0567D1"/>
    <w:rsid w:val="4B071FC4"/>
    <w:rsid w:val="4B236AAE"/>
    <w:rsid w:val="4B555D27"/>
    <w:rsid w:val="4B707271"/>
    <w:rsid w:val="4B9739F7"/>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1B2133"/>
    <w:rsid w:val="4E526455"/>
    <w:rsid w:val="4E79371D"/>
    <w:rsid w:val="4E793892"/>
    <w:rsid w:val="4E800872"/>
    <w:rsid w:val="4E9A20A5"/>
    <w:rsid w:val="4EC569ED"/>
    <w:rsid w:val="4ED50EA1"/>
    <w:rsid w:val="4EEC050C"/>
    <w:rsid w:val="4F104EC3"/>
    <w:rsid w:val="4F47354A"/>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343519"/>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24BF3"/>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813F7"/>
    <w:rsid w:val="58391050"/>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403D31"/>
    <w:rsid w:val="5C7422AE"/>
    <w:rsid w:val="5C80234E"/>
    <w:rsid w:val="5C8A680C"/>
    <w:rsid w:val="5CE45C2B"/>
    <w:rsid w:val="5CFBF30F"/>
    <w:rsid w:val="5D0C4701"/>
    <w:rsid w:val="5D0F0395"/>
    <w:rsid w:val="5D221076"/>
    <w:rsid w:val="5D397964"/>
    <w:rsid w:val="5D5A391C"/>
    <w:rsid w:val="5D5F10C0"/>
    <w:rsid w:val="5D891B7B"/>
    <w:rsid w:val="5D8A5E82"/>
    <w:rsid w:val="5DAD38EE"/>
    <w:rsid w:val="5E006862"/>
    <w:rsid w:val="5E0207B9"/>
    <w:rsid w:val="5E093CEF"/>
    <w:rsid w:val="5E1834A1"/>
    <w:rsid w:val="5E257458"/>
    <w:rsid w:val="5E261785"/>
    <w:rsid w:val="5E4A7017"/>
    <w:rsid w:val="5E552BBA"/>
    <w:rsid w:val="5E611C10"/>
    <w:rsid w:val="5E626095"/>
    <w:rsid w:val="5E74631F"/>
    <w:rsid w:val="5E7A0F3F"/>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D750D"/>
    <w:rsid w:val="63AC52D2"/>
    <w:rsid w:val="63AC6CC0"/>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8A521D"/>
    <w:rsid w:val="67A22552"/>
    <w:rsid w:val="67A530AB"/>
    <w:rsid w:val="67B22DCC"/>
    <w:rsid w:val="67BE71AA"/>
    <w:rsid w:val="67D90273"/>
    <w:rsid w:val="67DE5875"/>
    <w:rsid w:val="67E55852"/>
    <w:rsid w:val="67EB1AB4"/>
    <w:rsid w:val="67FA1285"/>
    <w:rsid w:val="683622C0"/>
    <w:rsid w:val="68551F4F"/>
    <w:rsid w:val="687C10C9"/>
    <w:rsid w:val="68840C16"/>
    <w:rsid w:val="68876EFB"/>
    <w:rsid w:val="68884654"/>
    <w:rsid w:val="689F444F"/>
    <w:rsid w:val="68B96DBB"/>
    <w:rsid w:val="68CA2805"/>
    <w:rsid w:val="68E85AE5"/>
    <w:rsid w:val="68E937A3"/>
    <w:rsid w:val="68EE0BEA"/>
    <w:rsid w:val="693E15D3"/>
    <w:rsid w:val="69627681"/>
    <w:rsid w:val="6977531D"/>
    <w:rsid w:val="69B51747"/>
    <w:rsid w:val="69CC2BFF"/>
    <w:rsid w:val="69D327F2"/>
    <w:rsid w:val="69FD55B8"/>
    <w:rsid w:val="6A0B1C62"/>
    <w:rsid w:val="6A0D3F4C"/>
    <w:rsid w:val="6A2406C8"/>
    <w:rsid w:val="6A4B328A"/>
    <w:rsid w:val="6A6672E0"/>
    <w:rsid w:val="6A8F2B46"/>
    <w:rsid w:val="6ABA3454"/>
    <w:rsid w:val="6ADE0BD1"/>
    <w:rsid w:val="6AE96859"/>
    <w:rsid w:val="6B147746"/>
    <w:rsid w:val="6B24787C"/>
    <w:rsid w:val="6B573233"/>
    <w:rsid w:val="6B5B6274"/>
    <w:rsid w:val="6B694FD4"/>
    <w:rsid w:val="6B8B2B1E"/>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48377C"/>
    <w:rsid w:val="707723D0"/>
    <w:rsid w:val="70DB77AC"/>
    <w:rsid w:val="70F5661B"/>
    <w:rsid w:val="70FF0D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135FD0"/>
    <w:rsid w:val="742222F5"/>
    <w:rsid w:val="74273B8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285E11"/>
    <w:rsid w:val="765D347C"/>
    <w:rsid w:val="76826699"/>
    <w:rsid w:val="76892DF8"/>
    <w:rsid w:val="76C87133"/>
    <w:rsid w:val="76CD08D5"/>
    <w:rsid w:val="76DB4B92"/>
    <w:rsid w:val="76FF4961"/>
    <w:rsid w:val="77052AA4"/>
    <w:rsid w:val="77136511"/>
    <w:rsid w:val="77340A39"/>
    <w:rsid w:val="77351FD0"/>
    <w:rsid w:val="77472422"/>
    <w:rsid w:val="776F473C"/>
    <w:rsid w:val="777F31F2"/>
    <w:rsid w:val="77BC4C63"/>
    <w:rsid w:val="77BE34B2"/>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400B8"/>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styleId="4">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lang w:val="zh-CN" w:eastAsia="zh-CN" w:bidi="ar-SA"/>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正文文本首行缩进 21"/>
    <w:basedOn w:val="3"/>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0"/>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paragraph" w:customStyle="1" w:styleId="96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16334</Words>
  <Characters>17409</Characters>
  <Lines>151</Lines>
  <Paragraphs>42</Paragraphs>
  <TotalTime>21</TotalTime>
  <ScaleCrop>false</ScaleCrop>
  <LinksUpToDate>false</LinksUpToDate>
  <CharactersWithSpaces>19564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DELL</cp:lastModifiedBy>
  <cp:lastPrinted>2021-12-27T11:06:00Z</cp:lastPrinted>
  <dcterms:modified xsi:type="dcterms:W3CDTF">2022-09-28T07:53:00Z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y fmtid="{D5CDD505-2E9C-101B-9397-08002B2CF9AE}" pid="6" name="woTemplateTypoMode" linkTarget="0">
    <vt:lpwstr>web</vt:lpwstr>
  </property>
  <property fmtid="{D5CDD505-2E9C-101B-9397-08002B2CF9AE}" pid="7" name="woTemplate" linkTarget="0">
    <vt:i4>1</vt:i4>
  </property>
</Properties>
</file>