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widowControl/>
        <w:spacing w:beforeAutospacing="1" w:afterAutospacing="1"/>
        <w:jc w:val="center"/>
        <w:outlineLvl w:val="0"/>
        <w:rPr>
          <w:rFonts w:ascii="Times New Roman" w:hAnsi="Times New Roman" w:eastAsia="宋体" w:cs="Times New Roman"/>
          <w:b/>
          <w:bCs/>
          <w:kern w:val="0"/>
          <w:sz w:val="40"/>
          <w:szCs w:val="40"/>
        </w:rPr>
      </w:pPr>
      <w:r>
        <w:rPr>
          <w:rFonts w:hint="eastAsia" w:ascii="Times New Roman" w:hAnsi="Times New Roman" w:eastAsia="宋体" w:cs="Times New Roman"/>
          <w:b/>
          <w:bCs/>
          <w:kern w:val="0"/>
          <w:sz w:val="40"/>
          <w:szCs w:val="40"/>
        </w:rPr>
        <w:t>深圳市宝安职业教育集团第二校区2024年引进外籍教师国际课程服务</w:t>
      </w:r>
    </w:p>
    <w:p>
      <w:pPr>
        <w:widowControl/>
        <w:spacing w:beforeAutospacing="1" w:afterAutospacing="1"/>
        <w:jc w:val="center"/>
        <w:outlineLvl w:val="0"/>
        <w:rPr>
          <w:rFonts w:ascii="黑体" w:hAnsi="宋体" w:eastAsia="黑体" w:cs="黑体"/>
          <w:kern w:val="0"/>
          <w:sz w:val="40"/>
          <w:szCs w:val="40"/>
        </w:rPr>
      </w:pPr>
      <w:r>
        <w:rPr>
          <w:rFonts w:hint="eastAsia" w:ascii="黑体" w:hAnsi="宋体" w:eastAsia="黑体" w:cs="黑体"/>
          <w:kern w:val="0"/>
          <w:sz w:val="40"/>
          <w:szCs w:val="40"/>
        </w:rPr>
        <w:t>招标文件信息</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rPr>
        <w:t>BAZXCG-2024-00099</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项目名称：</w:t>
      </w:r>
      <w:r>
        <w:rPr>
          <w:rFonts w:hint="eastAsia" w:asciiTheme="minorEastAsia" w:hAnsiTheme="minorEastAsia"/>
          <w:sz w:val="30"/>
          <w:szCs w:val="30"/>
        </w:rPr>
        <w:tab/>
      </w:r>
      <w:r>
        <w:rPr>
          <w:rFonts w:hint="eastAsia" w:asciiTheme="minorEastAsia" w:hAnsiTheme="minorEastAsia"/>
          <w:sz w:val="30"/>
          <w:szCs w:val="30"/>
        </w:rPr>
        <w:t>深圳市宝安职业教育集团第二校区2024年引进外籍教师国际课程服务</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包号：</w:t>
      </w:r>
      <w:r>
        <w:rPr>
          <w:rFonts w:hint="eastAsia" w:asciiTheme="minorEastAsia" w:hAnsiTheme="minorEastAsia"/>
          <w:sz w:val="30"/>
          <w:szCs w:val="30"/>
        </w:rPr>
        <w:tab/>
      </w:r>
      <w:r>
        <w:rPr>
          <w:rFonts w:hint="eastAsia" w:asciiTheme="minorEastAsia" w:hAnsiTheme="minorEastAsia"/>
          <w:sz w:val="30"/>
          <w:szCs w:val="30"/>
        </w:rPr>
        <w:t>A</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服务类</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pPr>
        <w:tabs>
          <w:tab w:val="left" w:pos="2790"/>
        </w:tabs>
        <w:snapToGrid w:val="0"/>
        <w:spacing w:line="440" w:lineRule="exact"/>
        <w:jc w:val="left"/>
        <w:rPr>
          <w:rFonts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综合评分法（新价格分算法）</w:t>
      </w:r>
    </w:p>
    <w:p>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（或未响应招标文件中带★号条款或响应有负偏离）的</w:t>
            </w:r>
            <w:r>
              <w:rPr>
                <w:rFonts w:hint="eastAsia"/>
              </w:rPr>
              <w:t>（是否实质性满足招标文件要求，由评审委员会根据实质性条款响应情况做出评判）；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投标报价有缺漏项目，或者对招标文件规定的项目需求内容或者需求数量进行修改，评审委员会判定投标响应不满足采购需求；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投标文件电子文档带病毒；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hint="eastAsia"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rPr>
            </w:pPr>
            <w:r>
              <w:rPr>
                <w:rFonts w:hint="eastAsia" w:ascii="Calibri" w:hAnsi="Calibri" w:eastAsia="宋体" w:cs="Times New Roman"/>
              </w:rPr>
              <w:t>如投标供应商存在“不同供应商的董事、股东或其他高级管理人员为同一人的”情形的，应承诺不存在串通投标、恶意串通或者视为串通投标的情形</w:t>
            </w:r>
            <w:r>
              <w:rPr>
                <w:rFonts w:hint="eastAsia" w:ascii="Calibri" w:hAnsi="Calibri" w:eastAsia="宋体" w:cs="Times New Roman"/>
                <w:bCs/>
              </w:rPr>
              <w:t>（</w:t>
            </w:r>
            <w:r>
              <w:rPr>
                <w:rFonts w:ascii="Calibri" w:hAnsi="Calibri" w:eastAsia="宋体" w:cs="Times New Roman"/>
                <w:bCs/>
              </w:rPr>
              <w:t>在《</w:t>
            </w:r>
            <w:r>
              <w:rPr>
                <w:rFonts w:hint="eastAsia" w:ascii="Calibri" w:hAnsi="Calibri" w:eastAsia="宋体" w:cs="Times New Roman"/>
                <w:bCs/>
              </w:rPr>
              <w:t>政府采购投标及履约承诺函</w:t>
            </w:r>
            <w:r>
              <w:rPr>
                <w:rFonts w:ascii="Calibri" w:hAnsi="Calibri" w:eastAsia="宋体" w:cs="Times New Roman"/>
                <w:bCs/>
              </w:rPr>
              <w:t>》中作出声明</w:t>
            </w:r>
            <w:r>
              <w:rPr>
                <w:rFonts w:hint="eastAsia" w:ascii="Calibri" w:hAnsi="Calibri" w:eastAsia="宋体" w:cs="Times New Roman"/>
                <w:bCs/>
              </w:rPr>
              <w:t>）</w:t>
            </w:r>
            <w:r>
              <w:rPr>
                <w:rFonts w:hint="eastAsia" w:ascii="Calibri" w:hAnsi="Calibri" w:eastAsia="宋体" w:cs="Times New Roman"/>
              </w:rPr>
              <w:t>；</w:t>
            </w:r>
            <w:r>
              <w:rPr>
                <w:rFonts w:hint="eastAsia" w:ascii="宋体" w:hAnsi="宋体" w:eastAsia="宋体"/>
              </w:rPr>
              <w:t>经核实，不同投标供应商的投标文件由同一电子设备编制、加密或者上传的；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pStyle w:val="14"/>
        <w:jc w:val="center"/>
        <w:outlineLvl w:val="0"/>
        <w:rPr>
          <w:rFonts w:ascii="黑体" w:eastAsia="黑体"/>
          <w:sz w:val="40"/>
          <w:szCs w:val="40"/>
        </w:rPr>
      </w:pPr>
      <w:r>
        <w:rPr>
          <w:rFonts w:hint="eastAsia" w:ascii="黑体" w:hAnsi="黑体" w:eastAsia="黑体"/>
          <w:sz w:val="40"/>
          <w:szCs w:val="40"/>
        </w:rPr>
        <w:t>评标信息</w:t>
      </w:r>
    </w:p>
    <w:p>
      <w:r>
        <w:rPr>
          <w:rFonts w:ascii="宋体" w:hAnsi="宋体"/>
          <w:b/>
          <w:bCs/>
        </w:rPr>
        <w:t>评标方法：综合评分法（新价格分算法）</w:t>
      </w:r>
    </w:p>
    <w:p>
      <w:pPr>
        <w:spacing w:line="324" w:lineRule="auto"/>
        <w:ind w:firstLine="420"/>
      </w:pPr>
      <w:r>
        <w:rPr>
          <w:rFonts w:ascii="宋体" w:hAnsi="宋体"/>
        </w:rPr>
        <w:t>综合评分法，是指投标文件满足招标文件全部实质性要求，且按照评审因素的量化指标评审得分最高的投标人为中标候选人的评标方法。</w:t>
      </w:r>
    </w:p>
    <w:p>
      <w:pPr>
        <w:ind w:firstLine="420"/>
      </w:pPr>
      <w:r>
        <w:rPr>
          <w:rFonts w:ascii="宋体" w:hAnsi="宋体"/>
        </w:rPr>
        <w:t>价格分计算方法：</w:t>
      </w:r>
    </w:p>
    <w:p>
      <w:r>
        <w:rPr>
          <w:rFonts w:ascii="宋体" w:hAnsi="宋体"/>
        </w:rPr>
        <w:t>采用低价优先法计算，即满足招标文件要求且投标价格最低的投标报价为评标基准价，其价格分为满分。其他投标人的价格分统一按照下列公式计算：</w:t>
      </w:r>
      <w:r>
        <w:br w:type="textWrapping"/>
      </w:r>
      <w:r>
        <w:rPr>
          <w:rFonts w:ascii="宋体" w:hAnsi="宋体"/>
        </w:rPr>
        <w:t>投标报价得分</w:t>
      </w:r>
      <w:r>
        <w:t>=(</w:t>
      </w:r>
      <w:r>
        <w:rPr>
          <w:rFonts w:ascii="宋体" w:hAnsi="宋体"/>
        </w:rPr>
        <w:t>评标基准价／投标报价</w:t>
      </w:r>
      <w:r>
        <w:t xml:space="preserve">)×100 </w:t>
      </w:r>
      <w:r>
        <w:br w:type="textWrapping"/>
      </w:r>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r>
        <w:br w:type="textWrapping"/>
      </w:r>
      <w:r>
        <w:t>F1</w:t>
      </w:r>
      <w:r>
        <w:rPr>
          <w:rFonts w:ascii="宋体" w:hAnsi="宋体"/>
        </w:rPr>
        <w:t>、</w:t>
      </w:r>
      <w:r>
        <w:t>F2……Fn</w:t>
      </w:r>
      <w:r>
        <w:rPr>
          <w:rFonts w:ascii="宋体" w:hAnsi="宋体"/>
        </w:rPr>
        <w:t xml:space="preserve">分别为各项评审因素的得分； </w:t>
      </w:r>
      <w:r>
        <w:br w:type="textWrapping"/>
      </w: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r>
        <w:br w:type="textWrapping"/>
      </w:r>
      <w:r>
        <w:rPr>
          <w:rFonts w:ascii="宋体" w:hAnsi="宋体"/>
        </w:rPr>
        <w:t>评标过程中，不得去掉报价中的最高报价和最低报价。</w:t>
      </w:r>
      <w:r>
        <w:br w:type="textWrapping"/>
      </w:r>
      <w:r>
        <w:rPr>
          <w:rFonts w:ascii="宋体" w:hAnsi="宋体"/>
        </w:rPr>
        <w:t>此方法适用于货物类、服务类、工程类项目。</w:t>
      </w:r>
    </w:p>
    <w:p>
      <w:pPr>
        <w:widowControl/>
        <w:jc w:val="left"/>
        <w:rPr>
          <w:b/>
          <w:sz w:val="84"/>
          <w:szCs w:val="84"/>
        </w:rPr>
      </w:pPr>
      <w:r>
        <w:rPr>
          <w:b/>
          <w:sz w:val="84"/>
          <w:szCs w:val="84"/>
        </w:rPr>
        <w:br w:type="page"/>
      </w:r>
    </w:p>
    <w:tbl>
      <w:tblPr>
        <w:tblStyle w:val="16"/>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20" w:type="dxa"/>
          <w:left w:w="108" w:type="dxa"/>
          <w:bottom w:w="20" w:type="dxa"/>
          <w:right w:w="108" w:type="dxa"/>
        </w:tblCellMar>
      </w:tblPr>
      <w:tblGrid>
        <w:gridCol w:w="714"/>
        <w:gridCol w:w="646"/>
        <w:gridCol w:w="1760"/>
        <w:gridCol w:w="993"/>
        <w:gridCol w:w="49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序号</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246"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1</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价格</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2</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技术部分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序号</w:t>
            </w:r>
          </w:p>
        </w:tc>
        <w:tc>
          <w:tcPr>
            <w:tcW w:w="1759"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评分因素</w:t>
            </w:r>
          </w:p>
        </w:tc>
        <w:tc>
          <w:tcPr>
            <w:tcW w:w="992"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权重（%）</w:t>
            </w:r>
          </w:p>
        </w:tc>
        <w:tc>
          <w:tcPr>
            <w:tcW w:w="4961"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1131" w:hRule="atLeast"/>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项目整体设想及规划方案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评标委员会根据投标人提供的项目整体设想及规划方案进行评价，内容包括但不限于：</w:t>
            </w:r>
          </w:p>
          <w:p>
            <w:pPr>
              <w:snapToGrid w:val="0"/>
              <w:spacing w:line="260" w:lineRule="exact"/>
              <w:rPr>
                <w:rFonts w:ascii="宋体" w:hAnsi="宋体" w:eastAsia="宋体" w:cs="宋体"/>
                <w:szCs w:val="21"/>
              </w:rPr>
            </w:pPr>
            <w:r>
              <w:rPr>
                <w:rFonts w:hint="eastAsia" w:ascii="宋体" w:hAnsi="宋体" w:eastAsia="宋体" w:cs="宋体"/>
                <w:szCs w:val="21"/>
              </w:rPr>
              <w:t>（1）项目现状分析；</w:t>
            </w:r>
          </w:p>
          <w:p>
            <w:pPr>
              <w:snapToGrid w:val="0"/>
              <w:spacing w:line="260" w:lineRule="exact"/>
              <w:rPr>
                <w:rFonts w:ascii="宋体" w:hAnsi="宋体" w:eastAsia="宋体" w:cs="宋体"/>
                <w:szCs w:val="21"/>
              </w:rPr>
            </w:pPr>
            <w:r>
              <w:rPr>
                <w:rFonts w:hint="eastAsia" w:ascii="宋体" w:hAnsi="宋体" w:eastAsia="宋体" w:cs="宋体"/>
                <w:szCs w:val="21"/>
              </w:rPr>
              <w:t>（2）项目整体设想与规划；</w:t>
            </w:r>
          </w:p>
          <w:p>
            <w:pPr>
              <w:snapToGrid w:val="0"/>
              <w:spacing w:line="260" w:lineRule="exact"/>
              <w:rPr>
                <w:rFonts w:ascii="宋体" w:hAnsi="宋体" w:eastAsia="宋体" w:cs="宋体"/>
                <w:szCs w:val="21"/>
              </w:rPr>
            </w:pPr>
            <w:r>
              <w:rPr>
                <w:rFonts w:hint="eastAsia" w:ascii="宋体" w:hAnsi="宋体" w:eastAsia="宋体" w:cs="宋体"/>
                <w:szCs w:val="21"/>
              </w:rPr>
              <w:t>（3）项目升值服务。</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1、满足上述三点的得50分，满足任意两点的得30分，满足任意一点的得20分，未满足不得分。</w:t>
            </w:r>
          </w:p>
          <w:p>
            <w:pPr>
              <w:snapToGrid w:val="0"/>
              <w:spacing w:line="260" w:lineRule="exact"/>
              <w:rPr>
                <w:rFonts w:ascii="宋体" w:hAnsi="宋体" w:eastAsia="宋体" w:cs="宋体"/>
                <w:szCs w:val="21"/>
              </w:rPr>
            </w:pPr>
            <w:r>
              <w:rPr>
                <w:rFonts w:hint="eastAsia" w:ascii="宋体" w:hAnsi="宋体" w:eastAsia="宋体" w:cs="宋体"/>
                <w:szCs w:val="21"/>
              </w:rPr>
              <w:t>2、在此基础上，由评审委员会对具体响应内容进一步评审：</w:t>
            </w:r>
          </w:p>
          <w:p>
            <w:pPr>
              <w:snapToGrid w:val="0"/>
              <w:spacing w:line="260" w:lineRule="exact"/>
              <w:rPr>
                <w:rFonts w:ascii="宋体" w:hAnsi="宋体" w:eastAsia="宋体" w:cs="宋体"/>
                <w:szCs w:val="21"/>
              </w:rPr>
            </w:pPr>
            <w:r>
              <w:rPr>
                <w:rFonts w:hint="eastAsia" w:ascii="宋体" w:hAnsi="宋体" w:eastAsia="宋体" w:cs="宋体"/>
                <w:szCs w:val="21"/>
              </w:rPr>
              <w:t>①方案极合理、条理极清晰、可操作性极强的得50分；</w:t>
            </w:r>
          </w:p>
          <w:p>
            <w:pPr>
              <w:snapToGrid w:val="0"/>
              <w:spacing w:line="260" w:lineRule="exact"/>
              <w:rPr>
                <w:rFonts w:ascii="宋体" w:hAnsi="宋体" w:eastAsia="宋体" w:cs="宋体"/>
                <w:szCs w:val="21"/>
              </w:rPr>
            </w:pPr>
            <w:r>
              <w:rPr>
                <w:rFonts w:hint="eastAsia" w:ascii="宋体" w:hAnsi="宋体" w:eastAsia="宋体" w:cs="宋体"/>
                <w:szCs w:val="21"/>
              </w:rPr>
              <w:t>②方案合理、条理清晰、可操作强的得40分；</w:t>
            </w:r>
          </w:p>
          <w:p>
            <w:pPr>
              <w:snapToGrid w:val="0"/>
              <w:spacing w:line="260" w:lineRule="exact"/>
              <w:rPr>
                <w:rFonts w:ascii="宋体" w:hAnsi="宋体" w:eastAsia="宋体" w:cs="宋体"/>
                <w:szCs w:val="21"/>
              </w:rPr>
            </w:pPr>
            <w:r>
              <w:rPr>
                <w:rFonts w:hint="eastAsia" w:ascii="宋体" w:hAnsi="宋体" w:eastAsia="宋体" w:cs="宋体"/>
                <w:szCs w:val="21"/>
              </w:rPr>
              <w:t>③方案较合理、条理较清晰、可操作较强的得30分；</w:t>
            </w:r>
          </w:p>
          <w:p>
            <w:pPr>
              <w:snapToGrid w:val="0"/>
              <w:spacing w:line="260" w:lineRule="exact"/>
              <w:rPr>
                <w:rFonts w:ascii="宋体" w:hAnsi="宋体" w:eastAsia="宋体" w:cs="宋体"/>
                <w:szCs w:val="21"/>
              </w:rPr>
            </w:pPr>
            <w:r>
              <w:rPr>
                <w:rFonts w:hint="eastAsia" w:ascii="宋体" w:hAnsi="宋体" w:eastAsia="宋体" w:cs="宋体"/>
                <w:szCs w:val="21"/>
              </w:rPr>
              <w:t>④方案一般合理、条理一般、可操作一般的得20分；</w:t>
            </w:r>
          </w:p>
          <w:p>
            <w:pPr>
              <w:snapToGrid w:val="0"/>
              <w:spacing w:line="260" w:lineRule="exact"/>
              <w:rPr>
                <w:rFonts w:ascii="宋体" w:hAnsi="宋体" w:eastAsia="宋体" w:cs="宋体"/>
                <w:szCs w:val="21"/>
              </w:rPr>
            </w:pPr>
            <w:r>
              <w:rPr>
                <w:rFonts w:hint="eastAsia" w:ascii="宋体" w:hAnsi="宋体" w:eastAsia="宋体" w:cs="宋体"/>
                <w:szCs w:val="21"/>
              </w:rPr>
              <w:t>⑤方案不合理、条理不清晰、可操作性差的得10分；</w:t>
            </w:r>
          </w:p>
          <w:p>
            <w:pPr>
              <w:snapToGrid w:val="0"/>
              <w:spacing w:line="260" w:lineRule="exact"/>
              <w:rPr>
                <w:rFonts w:ascii="宋体" w:hAnsi="宋体" w:eastAsia="宋体" w:cs="宋体"/>
                <w:szCs w:val="21"/>
              </w:rPr>
            </w:pPr>
            <w:r>
              <w:rPr>
                <w:rFonts w:hint="eastAsia" w:ascii="宋体" w:hAnsi="宋体" w:eastAsia="宋体" w:cs="宋体"/>
                <w:szCs w:val="21"/>
              </w:rPr>
              <w:t>⑥方案极不合理、条理极不清晰、可操作极差的不得分。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b/>
                <w:szCs w:val="21"/>
              </w:rPr>
            </w:pPr>
            <w:r>
              <w:rPr>
                <w:rFonts w:hint="eastAsia" w:ascii="宋体" w:hAnsi="宋体" w:eastAsia="宋体" w:cs="宋体"/>
                <w:bCs/>
                <w:szCs w:val="21"/>
              </w:rPr>
              <w:t>项目重点难点分析、应对措施及相关的合理化建议</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评标委员会根据投标人提供的项目重点难点分析、应对措施及相关的合理化建议进行评价，内容包括但不限于：</w:t>
            </w:r>
          </w:p>
          <w:p>
            <w:pPr>
              <w:snapToGrid w:val="0"/>
              <w:spacing w:line="260" w:lineRule="exact"/>
              <w:rPr>
                <w:rFonts w:ascii="宋体" w:hAnsi="宋体" w:eastAsia="宋体" w:cs="宋体"/>
                <w:szCs w:val="21"/>
              </w:rPr>
            </w:pPr>
            <w:r>
              <w:rPr>
                <w:rFonts w:hint="eastAsia" w:ascii="宋体" w:hAnsi="宋体" w:eastAsia="宋体" w:cs="宋体"/>
                <w:szCs w:val="21"/>
              </w:rPr>
              <w:t>（1）项目重点难点分析；</w:t>
            </w:r>
          </w:p>
          <w:p>
            <w:pPr>
              <w:snapToGrid w:val="0"/>
              <w:spacing w:line="260" w:lineRule="exact"/>
              <w:rPr>
                <w:rFonts w:ascii="宋体" w:hAnsi="宋体" w:eastAsia="宋体" w:cs="宋体"/>
                <w:szCs w:val="21"/>
              </w:rPr>
            </w:pPr>
            <w:r>
              <w:rPr>
                <w:rFonts w:hint="eastAsia" w:ascii="宋体" w:hAnsi="宋体" w:eastAsia="宋体" w:cs="宋体"/>
                <w:szCs w:val="21"/>
              </w:rPr>
              <w:t>（2）具体应对措施及合理化建议。</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1、满足上述两点的得60分,满足任意一点的得30分，未满足不得分。</w:t>
            </w:r>
          </w:p>
          <w:p>
            <w:pPr>
              <w:snapToGrid w:val="0"/>
              <w:spacing w:line="260" w:lineRule="exact"/>
              <w:rPr>
                <w:rFonts w:ascii="宋体" w:hAnsi="宋体" w:eastAsia="宋体" w:cs="宋体"/>
                <w:szCs w:val="21"/>
              </w:rPr>
            </w:pPr>
            <w:r>
              <w:rPr>
                <w:rFonts w:hint="eastAsia" w:ascii="宋体" w:hAnsi="宋体" w:eastAsia="宋体" w:cs="宋体"/>
                <w:szCs w:val="21"/>
              </w:rPr>
              <w:t>2、在此基础上，专家根据各投标人的具体响应内容进一步评审：</w:t>
            </w:r>
          </w:p>
          <w:p>
            <w:pPr>
              <w:snapToGrid w:val="0"/>
              <w:spacing w:line="260" w:lineRule="exact"/>
              <w:rPr>
                <w:rFonts w:ascii="宋体" w:hAnsi="宋体" w:eastAsia="宋体" w:cs="宋体"/>
                <w:szCs w:val="21"/>
              </w:rPr>
            </w:pPr>
            <w:r>
              <w:rPr>
                <w:rFonts w:hint="eastAsia" w:ascii="宋体" w:hAnsi="宋体" w:eastAsia="宋体" w:cs="宋体"/>
                <w:szCs w:val="21"/>
              </w:rPr>
              <w:t>①评审为优：项目重点难点分析、应对措施及相关的合理化建议合理可行，满足服务要求，针对性强，得40分；</w:t>
            </w:r>
          </w:p>
          <w:p>
            <w:pPr>
              <w:snapToGrid w:val="0"/>
              <w:spacing w:line="260" w:lineRule="exact"/>
              <w:rPr>
                <w:rFonts w:ascii="宋体" w:hAnsi="宋体" w:eastAsia="宋体" w:cs="宋体"/>
                <w:szCs w:val="21"/>
              </w:rPr>
            </w:pPr>
            <w:r>
              <w:rPr>
                <w:rFonts w:hint="eastAsia" w:ascii="宋体" w:hAnsi="宋体" w:eastAsia="宋体" w:cs="宋体"/>
                <w:szCs w:val="21"/>
              </w:rPr>
              <w:t>②评审为良：项目重点难点分析、应对措施及相关的合理化建议比较合理可行，比较满足服务要求，针对性强，得20分；</w:t>
            </w:r>
          </w:p>
          <w:p>
            <w:pPr>
              <w:snapToGrid w:val="0"/>
              <w:spacing w:line="260" w:lineRule="exact"/>
              <w:rPr>
                <w:rFonts w:ascii="宋体" w:hAnsi="宋体" w:eastAsia="宋体" w:cs="宋体"/>
                <w:szCs w:val="21"/>
              </w:rPr>
            </w:pPr>
            <w:r>
              <w:rPr>
                <w:rFonts w:hint="eastAsia" w:ascii="宋体" w:hAnsi="宋体" w:eastAsia="宋体" w:cs="宋体"/>
                <w:szCs w:val="21"/>
              </w:rPr>
              <w:t xml:space="preserve">③评审为中：项目重点难点分析、应对措施及相关的合理化建议基本合理可行，基本满足服务要求，针对性一般，得10分； </w:t>
            </w:r>
          </w:p>
          <w:p>
            <w:pPr>
              <w:snapToGrid w:val="0"/>
              <w:spacing w:line="260" w:lineRule="exact"/>
              <w:rPr>
                <w:rFonts w:ascii="宋体" w:hAnsi="宋体" w:eastAsia="宋体" w:cs="宋体"/>
                <w:szCs w:val="21"/>
              </w:rPr>
            </w:pPr>
            <w:r>
              <w:rPr>
                <w:rFonts w:hint="eastAsia" w:ascii="宋体" w:hAnsi="宋体" w:eastAsia="宋体" w:cs="宋体"/>
                <w:szCs w:val="21"/>
              </w:rPr>
              <w:t>④评审为差：项目重点难点分析、应对措施及相关的合理化建议不完整、合理，不能满足服务需要，不得分。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3</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bCs/>
                <w:szCs w:val="21"/>
              </w:rPr>
            </w:pPr>
            <w:r>
              <w:rPr>
                <w:rFonts w:hint="eastAsia" w:ascii="宋体" w:hAnsi="宋体" w:eastAsia="宋体" w:cs="宋体"/>
                <w:bCs/>
                <w:szCs w:val="21"/>
              </w:rPr>
              <w:t>后勤保障服务方案</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7</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评标委员会根据投标人提供的后勤保障服务方案进行评价，内容包括但不限于：</w:t>
            </w:r>
          </w:p>
          <w:p>
            <w:pPr>
              <w:snapToGrid w:val="0"/>
              <w:spacing w:line="260" w:lineRule="exact"/>
              <w:rPr>
                <w:rFonts w:ascii="宋体" w:hAnsi="宋体" w:eastAsia="宋体" w:cs="宋体"/>
                <w:szCs w:val="21"/>
              </w:rPr>
            </w:pPr>
            <w:r>
              <w:rPr>
                <w:rFonts w:hint="eastAsia" w:ascii="宋体" w:hAnsi="宋体" w:eastAsia="宋体" w:cs="宋体"/>
                <w:szCs w:val="21"/>
              </w:rPr>
              <w:t>（1）项目团队人员配置；</w:t>
            </w:r>
          </w:p>
          <w:p>
            <w:pPr>
              <w:snapToGrid w:val="0"/>
              <w:spacing w:line="260" w:lineRule="exact"/>
              <w:rPr>
                <w:rFonts w:ascii="宋体" w:hAnsi="宋体" w:eastAsia="宋体" w:cs="宋体"/>
                <w:szCs w:val="21"/>
              </w:rPr>
            </w:pPr>
            <w:r>
              <w:rPr>
                <w:rFonts w:hint="eastAsia" w:ascii="宋体" w:hAnsi="宋体" w:eastAsia="宋体" w:cs="宋体"/>
                <w:szCs w:val="21"/>
              </w:rPr>
              <w:t>（2）外籍教师管理制度；</w:t>
            </w:r>
          </w:p>
          <w:p>
            <w:pPr>
              <w:snapToGrid w:val="0"/>
              <w:spacing w:line="260" w:lineRule="exact"/>
              <w:rPr>
                <w:rFonts w:ascii="宋体" w:hAnsi="宋体" w:eastAsia="宋体" w:cs="宋体"/>
                <w:szCs w:val="21"/>
              </w:rPr>
            </w:pPr>
            <w:r>
              <w:rPr>
                <w:rFonts w:hint="eastAsia" w:ascii="宋体" w:hAnsi="宋体" w:eastAsia="宋体" w:cs="宋体"/>
                <w:szCs w:val="21"/>
              </w:rPr>
              <w:t>（3）突发事件应急处置。</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1、满足上述三点的得50分，满足任意两点的得30分，满足任意一点的得20分，未满足不得分。</w:t>
            </w:r>
          </w:p>
          <w:p>
            <w:pPr>
              <w:snapToGrid w:val="0"/>
              <w:spacing w:line="260" w:lineRule="exact"/>
              <w:rPr>
                <w:rFonts w:ascii="宋体" w:hAnsi="宋体" w:eastAsia="宋体" w:cs="宋体"/>
                <w:szCs w:val="21"/>
              </w:rPr>
            </w:pPr>
            <w:r>
              <w:rPr>
                <w:rFonts w:hint="eastAsia" w:ascii="宋体" w:hAnsi="宋体" w:eastAsia="宋体" w:cs="宋体"/>
                <w:szCs w:val="21"/>
              </w:rPr>
              <w:t>2、在此基础上，由评审委员会对具体响应内容进一步评审：</w:t>
            </w:r>
          </w:p>
          <w:p>
            <w:pPr>
              <w:snapToGrid w:val="0"/>
              <w:spacing w:line="260" w:lineRule="exact"/>
              <w:rPr>
                <w:rFonts w:ascii="宋体" w:hAnsi="宋体" w:eastAsia="宋体" w:cs="宋体"/>
                <w:szCs w:val="21"/>
              </w:rPr>
            </w:pPr>
            <w:r>
              <w:rPr>
                <w:rFonts w:hint="eastAsia" w:ascii="宋体" w:hAnsi="宋体" w:eastAsia="宋体" w:cs="宋体"/>
                <w:szCs w:val="21"/>
              </w:rPr>
              <w:t>①方案极合理、条理极清晰、可操作性极强的得50分；</w:t>
            </w:r>
          </w:p>
          <w:p>
            <w:pPr>
              <w:snapToGrid w:val="0"/>
              <w:spacing w:line="260" w:lineRule="exact"/>
              <w:rPr>
                <w:rFonts w:ascii="宋体" w:hAnsi="宋体" w:eastAsia="宋体" w:cs="宋体"/>
                <w:szCs w:val="21"/>
              </w:rPr>
            </w:pPr>
            <w:r>
              <w:rPr>
                <w:rFonts w:hint="eastAsia" w:ascii="宋体" w:hAnsi="宋体" w:eastAsia="宋体" w:cs="宋体"/>
                <w:szCs w:val="21"/>
              </w:rPr>
              <w:t>②方案合理、条理清晰、可操作强的得40分；</w:t>
            </w:r>
          </w:p>
          <w:p>
            <w:pPr>
              <w:snapToGrid w:val="0"/>
              <w:spacing w:line="260" w:lineRule="exact"/>
              <w:rPr>
                <w:rFonts w:ascii="宋体" w:hAnsi="宋体" w:eastAsia="宋体" w:cs="宋体"/>
                <w:szCs w:val="21"/>
              </w:rPr>
            </w:pPr>
            <w:r>
              <w:rPr>
                <w:rFonts w:hint="eastAsia" w:ascii="宋体" w:hAnsi="宋体" w:eastAsia="宋体" w:cs="宋体"/>
                <w:szCs w:val="21"/>
              </w:rPr>
              <w:t>③方案较合理、条理较清晰、可操作较强的得30分；</w:t>
            </w:r>
          </w:p>
          <w:p>
            <w:pPr>
              <w:snapToGrid w:val="0"/>
              <w:spacing w:line="260" w:lineRule="exact"/>
              <w:rPr>
                <w:rFonts w:ascii="宋体" w:hAnsi="宋体" w:eastAsia="宋体" w:cs="宋体"/>
                <w:szCs w:val="21"/>
              </w:rPr>
            </w:pPr>
            <w:r>
              <w:rPr>
                <w:rFonts w:hint="eastAsia" w:ascii="宋体" w:hAnsi="宋体" w:eastAsia="宋体" w:cs="宋体"/>
                <w:szCs w:val="21"/>
              </w:rPr>
              <w:t>④方案一般合理、条理一般、可操作一般的得20分；</w:t>
            </w:r>
          </w:p>
          <w:p>
            <w:pPr>
              <w:snapToGrid w:val="0"/>
              <w:spacing w:line="260" w:lineRule="exact"/>
              <w:rPr>
                <w:rFonts w:ascii="宋体" w:hAnsi="宋体" w:eastAsia="宋体" w:cs="宋体"/>
                <w:szCs w:val="21"/>
              </w:rPr>
            </w:pPr>
            <w:r>
              <w:rPr>
                <w:rFonts w:hint="eastAsia" w:ascii="宋体" w:hAnsi="宋体" w:eastAsia="宋体" w:cs="宋体"/>
                <w:szCs w:val="21"/>
              </w:rPr>
              <w:t>⑤方案不合理、条理不清晰、可操作性差的得10分；</w:t>
            </w:r>
          </w:p>
          <w:p>
            <w:pPr>
              <w:snapToGrid w:val="0"/>
              <w:spacing w:line="260" w:lineRule="exact"/>
              <w:rPr>
                <w:rFonts w:ascii="宋体" w:hAnsi="宋体" w:eastAsia="宋体" w:cs="宋体"/>
                <w:szCs w:val="21"/>
              </w:rPr>
            </w:pPr>
            <w:r>
              <w:rPr>
                <w:rFonts w:hint="eastAsia" w:ascii="宋体" w:hAnsi="宋体" w:eastAsia="宋体" w:cs="宋体"/>
                <w:szCs w:val="21"/>
              </w:rPr>
              <w:t>⑥方案极不合理、条理极不清晰、可操作极差的不得分。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4</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bCs/>
                <w:szCs w:val="21"/>
              </w:rPr>
            </w:pPr>
            <w:r>
              <w:rPr>
                <w:rFonts w:hint="eastAsia" w:ascii="宋体" w:hAnsi="宋体" w:eastAsia="宋体" w:cs="宋体"/>
                <w:bCs/>
                <w:szCs w:val="21"/>
              </w:rPr>
              <w:t>项目负责人（仅限1人）情况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对供应商拟安排的项目负责人(仅限1人)进行评分：</w:t>
            </w:r>
          </w:p>
          <w:p>
            <w:pPr>
              <w:snapToGrid w:val="0"/>
              <w:spacing w:line="260" w:lineRule="exact"/>
              <w:rPr>
                <w:rFonts w:ascii="宋体" w:hAnsi="宋体" w:eastAsia="宋体" w:cs="宋体"/>
                <w:szCs w:val="21"/>
              </w:rPr>
            </w:pPr>
            <w:r>
              <w:rPr>
                <w:rFonts w:hint="eastAsia" w:ascii="宋体" w:hAnsi="宋体" w:eastAsia="宋体" w:cs="宋体"/>
                <w:szCs w:val="21"/>
              </w:rPr>
              <w:t>（1）具有学士学位的得20分，硕士学位的得40分，博士学位的得70分,本项最高得70分；</w:t>
            </w:r>
          </w:p>
          <w:p>
            <w:pPr>
              <w:snapToGrid w:val="0"/>
              <w:spacing w:line="260" w:lineRule="exact"/>
              <w:rPr>
                <w:rFonts w:ascii="宋体" w:hAnsi="宋体" w:eastAsia="宋体" w:cs="宋体"/>
                <w:szCs w:val="21"/>
              </w:rPr>
            </w:pPr>
            <w:r>
              <w:rPr>
                <w:rFonts w:hint="eastAsia" w:ascii="宋体" w:hAnsi="宋体" w:eastAsia="宋体" w:cs="宋体"/>
                <w:szCs w:val="21"/>
              </w:rPr>
              <w:t>（2）英语或德语专业毕业，得10分；</w:t>
            </w:r>
          </w:p>
          <w:p>
            <w:pPr>
              <w:snapToGrid w:val="0"/>
              <w:spacing w:line="260" w:lineRule="exact"/>
              <w:rPr>
                <w:rFonts w:ascii="宋体" w:hAnsi="宋体" w:eastAsia="宋体" w:cs="宋体"/>
                <w:szCs w:val="21"/>
              </w:rPr>
            </w:pPr>
            <w:r>
              <w:rPr>
                <w:rFonts w:hint="eastAsia" w:ascii="宋体" w:hAnsi="宋体" w:eastAsia="宋体" w:cs="宋体"/>
                <w:szCs w:val="21"/>
              </w:rPr>
              <w:t>（3）具有海外工作经验，得20分。</w:t>
            </w:r>
          </w:p>
          <w:p>
            <w:pPr>
              <w:snapToGrid w:val="0"/>
              <w:spacing w:line="260" w:lineRule="exact"/>
              <w:rPr>
                <w:rFonts w:ascii="宋体" w:hAnsi="宋体" w:eastAsia="宋体" w:cs="宋体"/>
                <w:szCs w:val="21"/>
              </w:rPr>
            </w:pPr>
            <w:r>
              <w:rPr>
                <w:rFonts w:hint="eastAsia" w:ascii="宋体" w:hAnsi="宋体" w:eastAsia="宋体" w:cs="宋体"/>
                <w:szCs w:val="21"/>
              </w:rPr>
              <w:t>以上合计最高得100分。</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1、提供相关证明文件扫描件，原件备查；</w:t>
            </w:r>
          </w:p>
          <w:p>
            <w:pPr>
              <w:snapToGrid w:val="0"/>
              <w:spacing w:line="260" w:lineRule="exact"/>
              <w:rPr>
                <w:rFonts w:ascii="宋体" w:hAnsi="宋体" w:eastAsia="宋体" w:cs="宋体"/>
                <w:szCs w:val="21"/>
              </w:rPr>
            </w:pPr>
            <w:r>
              <w:rPr>
                <w:rFonts w:hint="eastAsia" w:ascii="宋体" w:hAnsi="宋体" w:eastAsia="宋体" w:cs="宋体"/>
                <w:szCs w:val="21"/>
              </w:rPr>
              <w:t>（1）涉及学位（学历）或专业，需提供学位（学历）证书：①学位（学历）证书在中国境内获得的，提供有效学历证书扫描件及学信网查询记录截图（如较早颁发的学历证书，学信网无法查询的，可提供毕业院校或教育或人社部门等颁发机构或监管机构等出具的证明）；②如海外留学（含港澳台）学历无法通过学信网站查询的，应当提供教育部留学服务中心出具的国外学历学位认证证书以及教育部留学服务中心官网查询截图；或者经中国驻外使、领馆或者获得学历所在国驻华使、领馆认证。</w:t>
            </w:r>
          </w:p>
          <w:p>
            <w:pPr>
              <w:snapToGrid w:val="0"/>
              <w:spacing w:line="260" w:lineRule="exact"/>
              <w:rPr>
                <w:rFonts w:ascii="宋体" w:hAnsi="宋体" w:eastAsia="宋体" w:cs="宋体"/>
                <w:szCs w:val="21"/>
              </w:rPr>
            </w:pPr>
            <w:r>
              <w:rPr>
                <w:rFonts w:hint="eastAsia" w:ascii="宋体" w:hAnsi="宋体" w:eastAsia="宋体" w:cs="宋体"/>
                <w:szCs w:val="21"/>
              </w:rPr>
              <w:t>（2）涉及海外工作经验，由申请人原工作过的单位出具相关的工作经历证明，需申请人原工作单位加盖公章或负责人签字，并留有证明联系人有效联系电话或电子邮件。</w:t>
            </w:r>
          </w:p>
          <w:p>
            <w:pPr>
              <w:snapToGrid w:val="0"/>
              <w:spacing w:line="260" w:lineRule="exact"/>
              <w:rPr>
                <w:rFonts w:ascii="宋体" w:hAnsi="宋体" w:eastAsia="宋体" w:cs="宋体"/>
                <w:szCs w:val="21"/>
              </w:rPr>
            </w:pPr>
            <w:r>
              <w:rPr>
                <w:rFonts w:hint="eastAsia" w:ascii="宋体" w:hAnsi="宋体" w:eastAsia="宋体" w:cs="宋体"/>
                <w:szCs w:val="21"/>
              </w:rPr>
              <w:t>2、同时提供相关人员开标日当月（或前一个月）在本单位缴纳且载有社保部门（或税务部门）公章（或业务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现有员工。</w:t>
            </w:r>
          </w:p>
          <w:p>
            <w:pPr>
              <w:snapToGrid w:val="0"/>
              <w:spacing w:line="260" w:lineRule="exact"/>
              <w:rPr>
                <w:rFonts w:ascii="宋体" w:hAnsi="宋体" w:eastAsia="宋体" w:cs="宋体"/>
                <w:szCs w:val="21"/>
              </w:rPr>
            </w:pPr>
            <w:r>
              <w:rPr>
                <w:rFonts w:hint="eastAsia" w:ascii="宋体" w:hAnsi="宋体" w:eastAsia="宋体" w:cs="宋体"/>
                <w:szCs w:val="21"/>
              </w:rPr>
              <w:t>3、若证明文件为其它语言，必须附中文译文，以中文译文为准。</w:t>
            </w:r>
          </w:p>
          <w:p>
            <w:pPr>
              <w:snapToGrid w:val="0"/>
              <w:spacing w:line="260" w:lineRule="exact"/>
              <w:rPr>
                <w:rFonts w:ascii="宋体" w:hAnsi="宋体" w:eastAsia="宋体" w:cs="宋体"/>
                <w:szCs w:val="21"/>
              </w:rPr>
            </w:pPr>
            <w:r>
              <w:rPr>
                <w:rFonts w:hint="eastAsia" w:ascii="宋体" w:hAnsi="宋体" w:eastAsia="宋体" w:cs="宋体"/>
                <w:szCs w:val="21"/>
              </w:rPr>
              <w:t>4、未按要求提供相关证明材料（或相关证明材料无法判断是否符合评分要求）的不计得分，原件备查。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5</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项目团队拟派中方服务人员（不含项目负责人）</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10</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对投标人拟派项目团队拟派中方服务人员情况（不含项目负责人）进行评分。</w:t>
            </w:r>
          </w:p>
          <w:p>
            <w:pPr>
              <w:snapToGrid w:val="0"/>
              <w:spacing w:line="260" w:lineRule="exact"/>
              <w:rPr>
                <w:rFonts w:ascii="宋体" w:hAnsi="宋体" w:eastAsia="宋体" w:cs="宋体"/>
                <w:szCs w:val="21"/>
              </w:rPr>
            </w:pPr>
            <w:r>
              <w:rPr>
                <w:rFonts w:hint="eastAsia" w:ascii="宋体" w:hAnsi="宋体" w:eastAsia="宋体" w:cs="宋体"/>
                <w:szCs w:val="21"/>
              </w:rPr>
              <w:t>（1）具有本科或以上学历的，每提供1人得25分，最高得50分；</w:t>
            </w:r>
          </w:p>
          <w:p>
            <w:pPr>
              <w:snapToGrid w:val="0"/>
              <w:spacing w:line="260" w:lineRule="exact"/>
              <w:rPr>
                <w:rFonts w:ascii="宋体" w:hAnsi="宋体" w:eastAsia="宋体" w:cs="宋体"/>
                <w:szCs w:val="21"/>
              </w:rPr>
            </w:pPr>
            <w:r>
              <w:rPr>
                <w:rFonts w:hint="eastAsia" w:ascii="宋体" w:hAnsi="宋体" w:eastAsia="宋体" w:cs="宋体"/>
                <w:szCs w:val="21"/>
              </w:rPr>
              <w:t>（2）外语类专业毕业，每提供1人得25分，最高得50分。</w:t>
            </w:r>
          </w:p>
          <w:p>
            <w:pPr>
              <w:snapToGrid w:val="0"/>
              <w:spacing w:line="260" w:lineRule="exact"/>
              <w:rPr>
                <w:rFonts w:ascii="宋体" w:hAnsi="宋体" w:eastAsia="宋体" w:cs="宋体"/>
                <w:szCs w:val="21"/>
              </w:rPr>
            </w:pPr>
            <w:r>
              <w:rPr>
                <w:rFonts w:hint="eastAsia" w:ascii="宋体" w:hAnsi="宋体" w:eastAsia="宋体" w:cs="宋体"/>
                <w:szCs w:val="21"/>
              </w:rPr>
              <w:t>以上合计最高得100分。</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1、提供相关证明文件扫描件，原件备查；</w:t>
            </w:r>
          </w:p>
          <w:p>
            <w:pPr>
              <w:snapToGrid w:val="0"/>
              <w:spacing w:line="260" w:lineRule="exact"/>
              <w:rPr>
                <w:rFonts w:ascii="宋体" w:hAnsi="宋体" w:eastAsia="宋体" w:cs="宋体"/>
                <w:szCs w:val="21"/>
              </w:rPr>
            </w:pPr>
            <w:r>
              <w:rPr>
                <w:rFonts w:hint="eastAsia" w:ascii="宋体" w:hAnsi="宋体" w:eastAsia="宋体" w:cs="宋体"/>
                <w:szCs w:val="21"/>
              </w:rPr>
              <w:t>涉及学历或专业，需提供学位（学历）证书：①学位（学历）证书在中国境内获得的，提供有效学历证书扫描件及学信网查询记录截图（如较早颁发的学历证书，学信网无法查询的，可提供毕业院校或教育或人社部门等颁发机构或监管机构等出具的证明）；②如海外留学（含港澳台）学历无法通过学信网站查询的，应当提供教育部留学服务中心出具的国外学历学位认证证书以及教育部留学服务中心官网查询截图；或者经中国驻外使、领馆或者获得学历所在国驻华使、领馆认证。</w:t>
            </w:r>
          </w:p>
          <w:p>
            <w:pPr>
              <w:snapToGrid w:val="0"/>
              <w:spacing w:line="260" w:lineRule="exact"/>
              <w:rPr>
                <w:rFonts w:ascii="宋体" w:hAnsi="宋体" w:eastAsia="宋体" w:cs="宋体"/>
                <w:szCs w:val="21"/>
              </w:rPr>
            </w:pPr>
            <w:r>
              <w:rPr>
                <w:rFonts w:hint="eastAsia" w:ascii="宋体" w:hAnsi="宋体" w:eastAsia="宋体" w:cs="宋体"/>
                <w:szCs w:val="21"/>
              </w:rPr>
              <w:t xml:space="preserve">2、同时提供相关人员开标日当月（或前一个月）在本单位缴纳且载有社保部门（或税务部门）公章（或税务部门公章）的社保缴交证明材料（如开标日当月（或前一个月）的社保材料因社保部门（或税务部门）原因暂时无法取得，则可以往前顺延一个月）；成立时间不满1个月的投标人需提供成立时间相关说明材料，并提供承诺函（格式自拟）承诺人员为投标人自有员工。 </w:t>
            </w:r>
          </w:p>
          <w:p>
            <w:pPr>
              <w:snapToGrid w:val="0"/>
              <w:spacing w:line="260" w:lineRule="exact"/>
              <w:rPr>
                <w:rFonts w:ascii="宋体" w:hAnsi="宋体" w:eastAsia="宋体" w:cs="宋体"/>
                <w:szCs w:val="21"/>
              </w:rPr>
            </w:pPr>
            <w:r>
              <w:rPr>
                <w:rFonts w:hint="eastAsia" w:ascii="宋体" w:hAnsi="宋体" w:eastAsia="宋体" w:cs="宋体"/>
                <w:szCs w:val="21"/>
              </w:rPr>
              <w:t>3、若证明文件为其它语言，必须附中文译文，以中文译文为准。</w:t>
            </w:r>
          </w:p>
          <w:p>
            <w:pPr>
              <w:snapToGrid w:val="0"/>
              <w:spacing w:line="260" w:lineRule="exact"/>
              <w:rPr>
                <w:rFonts w:ascii="宋体" w:hAnsi="宋体" w:eastAsia="宋体" w:cs="宋体"/>
                <w:szCs w:val="21"/>
              </w:rPr>
            </w:pPr>
            <w:r>
              <w:rPr>
                <w:rFonts w:hint="eastAsia" w:ascii="宋体" w:hAnsi="宋体" w:eastAsia="宋体" w:cs="宋体"/>
                <w:szCs w:val="21"/>
              </w:rPr>
              <w:t>4、未按要求提供相关证明材料（或相关证明材料无法判断是否符合评分要求）的不计得分，原件备查。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3</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商务部分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序号</w:t>
            </w:r>
          </w:p>
        </w:tc>
        <w:tc>
          <w:tcPr>
            <w:tcW w:w="1759"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评分因素</w:t>
            </w:r>
          </w:p>
        </w:tc>
        <w:tc>
          <w:tcPr>
            <w:tcW w:w="992"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权重（%）</w:t>
            </w:r>
          </w:p>
        </w:tc>
        <w:tc>
          <w:tcPr>
            <w:tcW w:w="4961"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同类业绩情况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18</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投标人自2021年1月1日至本项目投标截止之日止（以合同签订时间为准）具有同类外语课程服务项目的，每提供1个业绩合同得20分，最高得100分。续签合同业绩可以累计计算。</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提供合同关键信息证明文件扫描件（需包含合同首页、体现项目采购内容页、签字盖章页）作为得分依据；未按要求提供相关证明材料（或相关证明材料无法判断是否符合评分要求）的不计得分，原件备查。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投标人实力</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12</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（一）评分内容</w:t>
            </w:r>
          </w:p>
          <w:p>
            <w:pPr>
              <w:snapToGrid w:val="0"/>
              <w:spacing w:line="260" w:lineRule="exact"/>
              <w:rPr>
                <w:rFonts w:ascii="宋体" w:hAnsi="宋体" w:eastAsia="宋体" w:cs="宋体"/>
                <w:szCs w:val="21"/>
              </w:rPr>
            </w:pPr>
            <w:r>
              <w:rPr>
                <w:rFonts w:hint="eastAsia" w:ascii="宋体" w:hAnsi="宋体" w:eastAsia="宋体" w:cs="宋体"/>
                <w:szCs w:val="21"/>
              </w:rPr>
              <w:t>投标人与德国学校或教育机构有合作关系，配合学校对接德国学校组织、策划国际交流活动。</w:t>
            </w:r>
          </w:p>
          <w:p>
            <w:pPr>
              <w:snapToGrid w:val="0"/>
              <w:spacing w:line="260" w:lineRule="exact"/>
              <w:rPr>
                <w:rFonts w:ascii="宋体" w:hAnsi="宋体" w:eastAsia="宋体" w:cs="宋体"/>
                <w:szCs w:val="21"/>
              </w:rPr>
            </w:pPr>
            <w:r>
              <w:rPr>
                <w:rFonts w:hint="eastAsia" w:ascii="宋体" w:hAnsi="宋体" w:eastAsia="宋体" w:cs="宋体"/>
                <w:szCs w:val="21"/>
              </w:rPr>
              <w:t>（二）评分标准</w:t>
            </w:r>
          </w:p>
          <w:p>
            <w:pPr>
              <w:snapToGrid w:val="0"/>
              <w:spacing w:line="260" w:lineRule="exact"/>
              <w:rPr>
                <w:rFonts w:ascii="宋体" w:hAnsi="宋体" w:eastAsia="宋体" w:cs="宋体"/>
                <w:szCs w:val="21"/>
              </w:rPr>
            </w:pPr>
            <w:r>
              <w:rPr>
                <w:rFonts w:hint="eastAsia" w:ascii="宋体" w:hAnsi="宋体" w:eastAsia="宋体" w:cs="宋体"/>
                <w:szCs w:val="21"/>
              </w:rPr>
              <w:t>提供相关证明文件扫描件（需包含合作单位的公章或负责人签字，并留有证明联系人有效联系电话或电子邮件），原件备查。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4</w:t>
            </w:r>
          </w:p>
        </w:tc>
        <w:tc>
          <w:tcPr>
            <w:tcW w:w="3397" w:type="dxa"/>
            <w:gridSpan w:val="3"/>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其他部分</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jc w:val="center"/>
              <w:rPr>
                <w:rFonts w:ascii="宋体" w:hAnsi="宋体" w:eastAsia="宋体" w:cs="宋体"/>
                <w:b/>
                <w:bCs/>
                <w:szCs w:val="21"/>
              </w:rPr>
            </w:pPr>
            <w:r>
              <w:rPr>
                <w:rFonts w:hint="eastAsia" w:ascii="宋体" w:hAnsi="宋体" w:eastAsia="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序号</w:t>
            </w:r>
          </w:p>
        </w:tc>
        <w:tc>
          <w:tcPr>
            <w:tcW w:w="1759"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评分因素</w:t>
            </w:r>
          </w:p>
        </w:tc>
        <w:tc>
          <w:tcPr>
            <w:tcW w:w="992"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权重（%）</w:t>
            </w:r>
          </w:p>
        </w:tc>
        <w:tc>
          <w:tcPr>
            <w:tcW w:w="4961" w:type="dxa"/>
            <w:tcBorders>
              <w:top w:val="inset" w:color="000000" w:sz="6" w:space="0"/>
              <w:left w:val="inset" w:color="000000" w:sz="6" w:space="0"/>
              <w:bottom w:val="inset" w:color="000000" w:sz="6" w:space="0"/>
              <w:right w:val="inset" w:color="000000" w:sz="6"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rPr>
                <w:rFonts w:ascii="Times New Roman" w:hAnsi="Times New Roman" w:eastAsia="宋体" w:cs="Times New Roman"/>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诚信情况</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line="260" w:lineRule="exact"/>
              <w:jc w:val="center"/>
              <w:rPr>
                <w:rFonts w:ascii="宋体" w:hAnsi="宋体" w:eastAsia="宋体" w:cs="宋体"/>
                <w:szCs w:val="21"/>
              </w:rPr>
            </w:pPr>
            <w:r>
              <w:rPr>
                <w:rFonts w:hint="eastAsia" w:ascii="宋体" w:hAnsi="宋体" w:eastAsia="宋体" w:cs="宋体"/>
                <w:szCs w:val="21"/>
              </w:rPr>
              <w:t>5</w:t>
            </w:r>
          </w:p>
        </w:tc>
        <w:tc>
          <w:tcPr>
            <w:tcW w:w="4961"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line="260" w:lineRule="exact"/>
              <w:rPr>
                <w:rFonts w:ascii="宋体" w:hAnsi="宋体" w:eastAsia="宋体" w:cs="宋体"/>
                <w:szCs w:val="21"/>
              </w:rPr>
            </w:pPr>
            <w:r>
              <w:rPr>
                <w:rFonts w:hint="eastAsia" w:ascii="宋体" w:hAnsi="宋体" w:eastAsia="宋体" w:cs="宋体"/>
                <w:szCs w:val="21"/>
              </w:rPr>
              <w:t>投标人在参与政府采购活动中存在诚信相关问题且在主管部门相关处理措施实施期限内的，本项不得分，否则得满分。投标人无需提供任何证明材料，由政府集中采购机构工作人员查询后向评审委员会提供相关信息。</w:t>
            </w:r>
          </w:p>
        </w:tc>
      </w:tr>
    </w:tbl>
    <w:p>
      <w:pPr>
        <w:widowControl/>
        <w:jc w:val="left"/>
        <w:rPr>
          <w:b/>
          <w:sz w:val="84"/>
          <w:szCs w:val="84"/>
        </w:rPr>
      </w:pPr>
    </w:p>
    <w:p>
      <w:pPr>
        <w:jc w:val="center"/>
        <w:rPr>
          <w:b/>
          <w:sz w:val="84"/>
          <w:szCs w:val="84"/>
        </w:rPr>
      </w:pPr>
    </w:p>
    <w:p>
      <w:pPr>
        <w:jc w:val="center"/>
        <w:rPr>
          <w:b/>
          <w:sz w:val="84"/>
          <w:szCs w:val="84"/>
        </w:rPr>
      </w:pPr>
    </w:p>
    <w:p>
      <w:pPr>
        <w:jc w:val="center"/>
        <w:rPr>
          <w:b/>
          <w:sz w:val="84"/>
          <w:szCs w:val="84"/>
        </w:rPr>
      </w:pPr>
    </w:p>
    <w:p>
      <w:pPr>
        <w:jc w:val="center"/>
        <w:rPr>
          <w:b/>
          <w:sz w:val="120"/>
          <w:szCs w:val="120"/>
        </w:rPr>
      </w:pPr>
      <w:bookmarkStart w:id="1" w:name="_Hlk71465316"/>
    </w:p>
    <w:p>
      <w:pPr>
        <w:widowControl/>
        <w:jc w:val="left"/>
        <w:rPr>
          <w:b/>
          <w:sz w:val="120"/>
          <w:szCs w:val="120"/>
        </w:rPr>
      </w:pPr>
      <w:r>
        <w:rPr>
          <w:b/>
          <w:sz w:val="120"/>
          <w:szCs w:val="120"/>
        </w:rPr>
        <w:br w:type="page"/>
      </w: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pPr>
        <w:jc w:val="center"/>
        <w:rPr>
          <w:b/>
          <w:sz w:val="44"/>
          <w:szCs w:val="44"/>
        </w:rPr>
      </w:pPr>
    </w:p>
    <w:bookmarkEnd w:id="1"/>
    <w:p>
      <w:pPr>
        <w:jc w:val="center"/>
        <w:rPr>
          <w:b/>
          <w:color w:val="FF0000"/>
          <w:sz w:val="28"/>
          <w:szCs w:val="28"/>
        </w:rPr>
      </w:pPr>
      <w:r>
        <w:rPr>
          <w:rFonts w:hint="eastAsia"/>
          <w:b/>
          <w:color w:val="FF0000"/>
          <w:sz w:val="52"/>
          <w:szCs w:val="52"/>
        </w:rPr>
        <w:br w:type="page"/>
      </w:r>
    </w:p>
    <w:p>
      <w:pPr>
        <w:ind w:firstLine="3654" w:firstLineChars="1300"/>
        <w:outlineLvl w:val="0"/>
        <w:rPr>
          <w:rFonts w:ascii="宋体" w:hAnsi="宋体"/>
          <w:color w:val="FF0000"/>
          <w:szCs w:val="21"/>
        </w:rPr>
      </w:pPr>
      <w:bookmarkStart w:id="2" w:name="_Hlk73564573"/>
      <w:r>
        <w:rPr>
          <w:rFonts w:hint="eastAsia" w:ascii="宋体" w:hAnsi="宋体" w:eastAsia="黑体"/>
          <w:b/>
          <w:bCs/>
          <w:color w:val="FF0000"/>
          <w:kern w:val="44"/>
          <w:sz w:val="28"/>
          <w:szCs w:val="44"/>
        </w:rPr>
        <w:t>警示条款</w:t>
      </w:r>
    </w:p>
    <w:p>
      <w:pPr>
        <w:spacing w:line="360" w:lineRule="exact"/>
        <w:ind w:firstLine="422" w:firstLineChars="200"/>
        <w:rPr>
          <w:rFonts w:asciiTheme="minorEastAsia" w:hAnsiTheme="minorEastAsia" w:cstheme="minorEastAsia"/>
          <w:color w:val="FF0000"/>
          <w:szCs w:val="21"/>
        </w:rPr>
      </w:pPr>
      <w:r>
        <w:rPr>
          <w:rFonts w:hint="eastAsia" w:asciiTheme="minorEastAsia" w:hAnsiTheme="minorEastAsia" w:cstheme="minorEastAsia"/>
          <w:b/>
          <w:bCs/>
          <w:color w:val="FF0000"/>
          <w:szCs w:val="21"/>
        </w:rPr>
        <w:t>一、《深圳经济特区政府采购条例》第五十七条</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（一）在采购活动中应当回避而未回避的；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（二）未按本条例规定签订、履行采购合同，造成严重后果的；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（三）隐瞒真实情况，提供虚假资料的；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（四）以非法手段排斥其他供应商参与竞争的；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（五）与其他采购参加人串通投标的；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（六）恶意投诉的；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（七）向采购项目相关人行贿或者提供其他不当利益的；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（八）阻碍、抗拒主管部门监督检查的；</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（九）其他违反本条例规定的行为。</w:t>
      </w:r>
    </w:p>
    <w:p>
      <w:pPr>
        <w:spacing w:line="360" w:lineRule="exact"/>
        <w:ind w:firstLine="422" w:firstLineChars="200"/>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二、《深圳经济特区政府采购条例实施细则》第七十五条 </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pacing w:line="360" w:lineRule="exact"/>
        <w:ind w:firstLine="422" w:firstLineChars="200"/>
        <w:rPr>
          <w:rFonts w:asciiTheme="minorEastAsia" w:hAnsiTheme="minorEastAsia" w:cstheme="minorEastAsia"/>
          <w:b/>
          <w:bCs/>
          <w:color w:val="FF0000"/>
          <w:szCs w:val="21"/>
        </w:rPr>
      </w:pPr>
      <w:r>
        <w:rPr>
          <w:rFonts w:hint="eastAsia" w:asciiTheme="minorEastAsia" w:hAnsiTheme="minorEastAsia" w:cstheme="minorEastAsia"/>
          <w:b/>
          <w:bCs/>
          <w:color w:val="FF0000"/>
          <w:szCs w:val="21"/>
        </w:rPr>
        <w:t>三、《深圳经济特区政府采购条例实施细则》第七十七条 </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pacing w:line="360" w:lineRule="exact"/>
        <w:ind w:firstLine="420" w:firstLineChars="200"/>
        <w:rPr>
          <w:rFonts w:asciiTheme="minorEastAsia" w:hAnsiTheme="minorEastAsia" w:cstheme="minorEastAsia"/>
          <w:color w:val="FF0000"/>
          <w:szCs w:val="21"/>
        </w:rPr>
      </w:pPr>
      <w:r>
        <w:rPr>
          <w:rFonts w:hint="eastAsia" w:asciiTheme="minorEastAsia" w:hAnsiTheme="minorEastAsia" w:cstheme="minorEastAsia"/>
          <w:color w:val="FF0000"/>
          <w:szCs w:val="21"/>
        </w:rPr>
        <w:t>投标供应商不能提供项目负责人或者主要技术人员的劳动合同、社会保险等劳动关系证明材料的，视为存在前款第（三）项规定的情形。</w:t>
      </w:r>
    </w:p>
    <w:bookmarkEnd w:id="2"/>
    <w:p>
      <w:pPr>
        <w:spacing w:line="360" w:lineRule="exact"/>
        <w:ind w:firstLine="422" w:firstLineChars="200"/>
        <w:rPr>
          <w:rFonts w:asciiTheme="minorEastAsia" w:hAnsiTheme="minorEastAsia" w:cstheme="minorEastAsia"/>
          <w:b/>
          <w:color w:val="FF0000"/>
          <w:szCs w:val="21"/>
        </w:rPr>
      </w:pPr>
      <w:r>
        <w:rPr>
          <w:rFonts w:hint="eastAsia" w:asciiTheme="minorEastAsia" w:hAnsiTheme="minorEastAsia" w:cstheme="minorEastAsia"/>
          <w:b/>
          <w:color w:val="FF0000"/>
          <w:szCs w:val="21"/>
        </w:rPr>
        <w:t>四、请投标供应商阅读《政府采购违法行为风险知悉确认书》（内容详见“投标文件附件（信息不公开部分）”），并经各投标供应商负责人或投标授权代表签字并加盖单位公章后，扫描上传至投标文件一并提交。注：该风险知悉确认书用于对供应商违法行为的警示，不作为供应商资格性审查及符合性审查条件。</w:t>
      </w:r>
    </w:p>
    <w:p>
      <w:pPr>
        <w:pStyle w:val="9"/>
      </w:pPr>
    </w:p>
    <w:p>
      <w:pPr>
        <w:pStyle w:val="10"/>
      </w:pP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72" w:firstLineChars="196"/>
        <w:rPr>
          <w:b/>
          <w:sz w:val="24"/>
          <w:szCs w:val="24"/>
        </w:rPr>
      </w:pPr>
      <w:r>
        <w:rPr>
          <w:rFonts w:hint="eastAsia"/>
          <w:b/>
          <w:sz w:val="24"/>
          <w:szCs w:val="24"/>
        </w:rPr>
        <w:tab/>
      </w:r>
      <w:r>
        <w:rPr>
          <w:rFonts w:hint="eastAsia" w:ascii="宋体" w:hAnsi="宋体"/>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ascii="宋体" w:hAnsi="宋体"/>
          <w:szCs w:val="21"/>
        </w:rPr>
        <w:t>第四章 投标文件组成要求及格式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pPr>
        <w:snapToGrid w:val="0"/>
        <w:spacing w:line="360" w:lineRule="exact"/>
        <w:ind w:firstLine="465"/>
        <w:rPr>
          <w:rFonts w:asciiTheme="minorEastAsia" w:hAnsiTheme="minorEastAsia" w:cstheme="minorEastAsia"/>
          <w:bCs/>
          <w:sz w:val="24"/>
          <w:szCs w:val="24"/>
        </w:rPr>
      </w:pPr>
      <w:r>
        <w:rPr>
          <w:rFonts w:hint="eastAsia" w:asciiTheme="minorEastAsia" w:hAnsiTheme="minorEastAsia" w:cstheme="minorEastAsia"/>
          <w:bCs/>
          <w:sz w:val="24"/>
          <w:szCs w:val="24"/>
        </w:rPr>
        <w:t>1）具有独立法人资格或是具有独立承担民事责任能力的其它组织（提供营业执照或事业单位法人证书等证明资料扫描件，原件备查）。</w:t>
      </w:r>
    </w:p>
    <w:p>
      <w:pPr>
        <w:snapToGrid w:val="0"/>
        <w:spacing w:line="360" w:lineRule="exact"/>
        <w:ind w:firstLine="465"/>
        <w:rPr>
          <w:rFonts w:asciiTheme="minorEastAsia" w:hAnsiTheme="minorEastAsia" w:cstheme="minorEastAsia"/>
          <w:bCs/>
          <w:sz w:val="24"/>
          <w:szCs w:val="24"/>
        </w:rPr>
      </w:pPr>
      <w:r>
        <w:rPr>
          <w:rFonts w:hint="eastAsia" w:asciiTheme="minorEastAsia" w:hAnsiTheme="minorEastAsia" w:cstheme="minorEastAsia"/>
          <w:bCs/>
          <w:sz w:val="24"/>
          <w:szCs w:val="24"/>
        </w:rPr>
        <w:t>2）本项目不接受联合体投标，不接受投标人选用进口产品参与投标。</w:t>
      </w:r>
    </w:p>
    <w:p>
      <w:pPr>
        <w:snapToGrid w:val="0"/>
        <w:spacing w:line="36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3）参与本项目政府采购活动时不存在被有关部门禁止参与政府采购活动且在有效期内的情况（由供应商在《政府采购投标及履约承诺函》中作出声明）。</w:t>
      </w:r>
    </w:p>
    <w:p>
      <w:pPr>
        <w:snapToGrid w:val="0"/>
        <w:spacing w:line="36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4）具备《中华人民共和国政府采购法》第二十二条第一款的条件（由供应商在《政府采购投标及履约承诺函》中作出声明）。</w:t>
      </w:r>
    </w:p>
    <w:p>
      <w:pPr>
        <w:snapToGrid w:val="0"/>
        <w:spacing w:line="36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5）未被列入失信被执行人、重大税收违法案件当事人名单、政府采购严重违法失信行为记录名单（由供应商在《政府采购投标及履约承诺函》中作出声明）。</w:t>
      </w:r>
    </w:p>
    <w:p>
      <w:pPr>
        <w:snapToGrid w:val="0"/>
        <w:spacing w:line="360" w:lineRule="exact"/>
        <w:ind w:firstLine="465"/>
        <w:rPr>
          <w:rFonts w:asciiTheme="minorEastAsia" w:hAnsiTheme="minorEastAsia" w:cstheme="minorEastAsia"/>
          <w:bCs/>
          <w:sz w:val="24"/>
          <w:szCs w:val="24"/>
        </w:rPr>
      </w:pPr>
      <w:r>
        <w:rPr>
          <w:rFonts w:hint="eastAsia" w:asciiTheme="minorEastAsia" w:hAnsiTheme="minorEastAsia" w:cstheme="minorEastAsia"/>
          <w:bCs/>
          <w:sz w:val="24"/>
          <w:szCs w:val="24"/>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snapToGrid w:val="0"/>
        <w:spacing w:line="360" w:lineRule="exact"/>
        <w:ind w:firstLine="480" w:firstLineChars="200"/>
        <w:rPr>
          <w:rFonts w:asciiTheme="minorEastAsia" w:hAnsiTheme="minorEastAsia" w:cstheme="minorEastAsia"/>
          <w:bCs/>
          <w:sz w:val="24"/>
          <w:szCs w:val="24"/>
          <w:highlight w:val="yellow"/>
        </w:rPr>
      </w:pPr>
      <w:r>
        <w:rPr>
          <w:rFonts w:hint="eastAsia" w:asciiTheme="minorEastAsia" w:hAnsiTheme="minorEastAsia" w:cstheme="minorEastAsia"/>
          <w:bCs/>
          <w:sz w:val="24"/>
          <w:szCs w:val="24"/>
        </w:rPr>
        <w:t>7）本项目是（否）专门面向中小企业采购：否。</w:t>
      </w:r>
    </w:p>
    <w:p>
      <w:pPr>
        <w:snapToGrid w:val="0"/>
        <w:spacing w:line="360" w:lineRule="exact"/>
        <w:ind w:firstLine="465"/>
        <w:rPr>
          <w:rFonts w:asciiTheme="minorEastAsia" w:hAnsiTheme="minorEastAsia" w:cstheme="minorEastAsia"/>
          <w:b/>
          <w:sz w:val="24"/>
          <w:szCs w:val="24"/>
        </w:rPr>
      </w:pPr>
    </w:p>
    <w:p>
      <w:pPr>
        <w:snapToGrid w:val="0"/>
        <w:spacing w:line="360" w:lineRule="exact"/>
        <w:ind w:firstLine="480" w:firstLineChars="200"/>
        <w:rPr>
          <w:rFonts w:asciiTheme="minorEastAsia" w:hAnsiTheme="minorEastAsia" w:cstheme="minorEastAsia"/>
          <w:sz w:val="24"/>
          <w:szCs w:val="24"/>
        </w:rPr>
      </w:pPr>
    </w:p>
    <w:p>
      <w:pPr>
        <w:snapToGrid w:val="0"/>
        <w:spacing w:line="3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w:t>
      </w:r>
    </w:p>
    <w:p>
      <w:pPr>
        <w:snapToGrid w:val="0"/>
        <w:spacing w:line="3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1）“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snapToGrid w:val="0"/>
        <w:spacing w:line="360" w:lineRule="exact"/>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（2）供应商投标（上传投标文件）必须先行办理注册手续。</w:t>
      </w:r>
    </w:p>
    <w:p>
      <w:pPr>
        <w:snapToGrid w:val="0"/>
        <w:spacing w:line="300" w:lineRule="auto"/>
        <w:ind w:firstLine="480" w:firstLineChars="200"/>
        <w:rPr>
          <w:rFonts w:ascii="Arial" w:hAnsi="Arial" w:eastAsia="宋体" w:cs="Times New Roman"/>
          <w:sz w:val="24"/>
          <w:szCs w:val="24"/>
        </w:rPr>
      </w:pPr>
    </w:p>
    <w:p>
      <w:pPr>
        <w:spacing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w:t>
      </w:r>
      <w:r>
        <w:rPr>
          <w:rFonts w:hint="eastAsia"/>
          <w:b/>
          <w:color w:val="FF0000"/>
          <w:sz w:val="30"/>
          <w:szCs w:val="30"/>
        </w:rPr>
        <w:t>深圳公共资源交易网（https://www.szggzy.com/jygg/list.html?id=zfcg）</w:t>
      </w:r>
    </w:p>
    <w:p>
      <w:pPr>
        <w:widowControl/>
        <w:jc w:val="left"/>
        <w:rPr>
          <w:rFonts w:ascii="Arial" w:hAnsi="Arial" w:eastAsia="宋体" w:cs="Times New Roman"/>
          <w:b/>
          <w:color w:val="FF0000"/>
          <w:sz w:val="32"/>
          <w:szCs w:val="32"/>
        </w:rPr>
      </w:pPr>
    </w:p>
    <w:p>
      <w:pPr>
        <w:widowControl/>
        <w:jc w:val="left"/>
        <w:rPr>
          <w:rFonts w:ascii="Arial" w:hAnsi="Arial" w:eastAsia="宋体" w:cs="Times New Roman"/>
          <w:b/>
          <w:color w:val="FF0000"/>
          <w:sz w:val="32"/>
          <w:szCs w:val="32"/>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4" w:name="_Toc60560625"/>
      <w:bookmarkStart w:id="5" w:name="_Toc73521547"/>
      <w:bookmarkStart w:id="6" w:name="_Toc101074876"/>
      <w:bookmarkStart w:id="7" w:name="_Toc73517639"/>
      <w:bookmarkStart w:id="8" w:name="_Toc73521635"/>
      <w:bookmarkStart w:id="9" w:name="_Toc60631620"/>
      <w:bookmarkStart w:id="10" w:name="_Toc100052364"/>
      <w:bookmarkStart w:id="11" w:name="_Toc73518117"/>
      <w:r>
        <w:rPr>
          <w:rFonts w:hint="eastAsia" w:ascii="宋体" w:hAnsi="宋体" w:eastAsia="宋体" w:cs="Times New Roman"/>
          <w:b/>
          <w:bCs/>
          <w:kern w:val="0"/>
          <w:sz w:val="24"/>
          <w:szCs w:val="24"/>
        </w:rPr>
        <w:t>一、对通用条款的补充内容</w:t>
      </w:r>
    </w:p>
    <w:bookmarkEnd w:id="4"/>
    <w:bookmarkEnd w:id="5"/>
    <w:bookmarkEnd w:id="6"/>
    <w:bookmarkEnd w:id="7"/>
    <w:bookmarkEnd w:id="8"/>
    <w:bookmarkEnd w:id="9"/>
    <w:bookmarkEnd w:id="10"/>
    <w:bookmarkEnd w:id="11"/>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具 体 补 充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ascii="宋体" w:hAnsi="宋体"/>
              </w:rPr>
            </w:pPr>
            <w:r>
              <w:rPr>
                <w:rFonts w:hint="eastAsia" w:ascii="宋体" w:hAnsi="宋体" w:eastAsia="宋体" w:cs="Arial"/>
                <w:b/>
                <w:szCs w:val="21"/>
              </w:rPr>
              <w:t>深圳市宝安职业教育集团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ascii="宋体" w:hAnsi="宋体"/>
              </w:rPr>
            </w:pPr>
            <w:r>
              <w:rPr>
                <w:rFonts w:hint="eastAsia" w:ascii="宋体" w:hAnsi="宋体"/>
              </w:rPr>
              <w:t>联合体投标</w:t>
            </w:r>
          </w:p>
        </w:tc>
        <w:tc>
          <w:tcPr>
            <w:tcW w:w="6795" w:type="dxa"/>
            <w:vAlign w:val="center"/>
          </w:tcPr>
          <w:p>
            <w:pPr>
              <w:jc w:val="left"/>
              <w:rPr>
                <w:rFonts w:ascii="宋体" w:hAnsi="宋体"/>
              </w:rPr>
            </w:pPr>
            <w:r>
              <w:rPr>
                <w:rFonts w:hint="eastAsia" w:ascii="宋体" w:hAnsi="宋体"/>
              </w:rPr>
              <w:t>详见本项目招标公告申请人的资格要求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snapToGrid w:val="0"/>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rPr>
              <w:t>招标文件的澄清和修改</w:t>
            </w:r>
          </w:p>
        </w:tc>
        <w:tc>
          <w:tcPr>
            <w:tcW w:w="6795" w:type="dxa"/>
            <w:vAlign w:val="center"/>
          </w:tcPr>
          <w:p>
            <w:pPr>
              <w:jc w:val="left"/>
              <w:rPr>
                <w:rFonts w:ascii="宋体" w:hAnsi="宋体"/>
              </w:rPr>
            </w:pPr>
            <w:r>
              <w:rPr>
                <w:rFonts w:hint="eastAsia" w:ascii="宋体" w:hAnsi="宋体"/>
              </w:rPr>
              <w:t>对招标文件澄清/修改时间不晚于投标截止日三日前，投标人有义务在招标期间在政府集中采购机构网站浏览与本项目有关的澄清和修改信息。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rPr>
              <w:t>投标有效期</w:t>
            </w:r>
          </w:p>
        </w:tc>
        <w:tc>
          <w:tcPr>
            <w:tcW w:w="6795" w:type="dxa"/>
            <w:vAlign w:val="center"/>
          </w:tcPr>
          <w:p>
            <w:pPr>
              <w:jc w:val="left"/>
              <w:rPr>
                <w:rFonts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rPr>
              <w:t>投标人的替代方案</w:t>
            </w:r>
          </w:p>
        </w:tc>
        <w:tc>
          <w:tcPr>
            <w:tcW w:w="6795" w:type="dxa"/>
            <w:vAlign w:val="center"/>
          </w:tcPr>
          <w:p>
            <w:pPr>
              <w:jc w:val="left"/>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rPr>
              <w:t>投标文件的大小</w:t>
            </w:r>
          </w:p>
        </w:tc>
        <w:tc>
          <w:tcPr>
            <w:tcW w:w="6795" w:type="dxa"/>
            <w:vAlign w:val="center"/>
          </w:tcPr>
          <w:p>
            <w:pPr>
              <w:jc w:val="left"/>
              <w:rPr>
                <w:rFonts w:ascii="宋体" w:hAnsi="宋体"/>
              </w:rPr>
            </w:pPr>
            <w:r>
              <w:rPr>
                <w:rFonts w:hint="eastAsia" w:ascii="宋体" w:hAnsi="宋体" w:eastAsia="宋体" w:cs="Arial"/>
                <w:szCs w:val="21"/>
              </w:rPr>
              <w:t>投标文件大小不得超过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2" w:name="_Hlk71664860"/>
            <w:r>
              <w:rPr>
                <w:rFonts w:hint="eastAsia" w:ascii="宋体" w:hAnsi="宋体"/>
              </w:rPr>
              <w:t>样品、现场演示、方案讲解</w:t>
            </w:r>
            <w:bookmarkEnd w:id="12"/>
          </w:p>
        </w:tc>
        <w:tc>
          <w:tcPr>
            <w:tcW w:w="6795" w:type="dxa"/>
            <w:vAlign w:val="center"/>
          </w:tcPr>
          <w:p>
            <w:pPr>
              <w:jc w:val="left"/>
              <w:rPr>
                <w:rFonts w:ascii="宋体" w:hAnsi="宋体"/>
              </w:rPr>
            </w:pPr>
            <w:r>
              <w:rPr>
                <w:rFonts w:hint="eastAsia" w:ascii="宋体" w:hAnsi="宋体"/>
              </w:rPr>
              <w:t>不要求提供样品；不组织现场演示；不组织方案讲解。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snapToGrid w:val="0"/>
              <w:rPr>
                <w:rFonts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52.8</w:t>
            </w:r>
          </w:p>
        </w:tc>
        <w:tc>
          <w:tcPr>
            <w:tcW w:w="1755" w:type="dxa"/>
            <w:vAlign w:val="center"/>
          </w:tcPr>
          <w:p>
            <w:pPr>
              <w:jc w:val="center"/>
              <w:rPr>
                <w:rFonts w:ascii="宋体" w:hAnsi="宋体"/>
              </w:rPr>
            </w:pPr>
            <w:r>
              <w:rPr>
                <w:rFonts w:hint="eastAsia" w:ascii="宋体" w:hAnsi="宋体"/>
              </w:rPr>
              <w:t>投诉</w:t>
            </w:r>
          </w:p>
        </w:tc>
        <w:tc>
          <w:tcPr>
            <w:tcW w:w="6795" w:type="dxa"/>
            <w:vAlign w:val="center"/>
          </w:tcPr>
          <w:p>
            <w:pPr>
              <w:jc w:val="left"/>
              <w:rPr>
                <w:rFonts w:ascii="宋体" w:hAnsi="宋体"/>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pPr>
      <w:r>
        <w:rPr>
          <w:rFonts w:hint="eastAsia" w:ascii="黑体" w:hAnsi="宋体" w:eastAsia="黑体"/>
          <w:bCs/>
          <w:sz w:val="24"/>
        </w:rPr>
        <w:t>1、评标定标信息</w:t>
      </w:r>
    </w:p>
    <w:p>
      <w:pPr>
        <w:tabs>
          <w:tab w:val="left" w:pos="720"/>
        </w:tabs>
        <w:jc w:val="center"/>
      </w:pPr>
      <w:r>
        <w:rPr>
          <w:rFonts w:hint="eastAsia"/>
        </w:rPr>
        <w:t>非评定分离项目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bookmarkStart w:id="13" w:name="_Hlk74239733"/>
            <w:r>
              <w:rPr>
                <w:rFonts w:hint="eastAsia"/>
              </w:rPr>
              <w:t>评标方法</w:t>
            </w:r>
          </w:p>
        </w:tc>
        <w:tc>
          <w:tcPr>
            <w:tcW w:w="4265" w:type="dxa"/>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候选中标供应商家数</w:t>
            </w:r>
          </w:p>
        </w:tc>
        <w:tc>
          <w:tcPr>
            <w:tcW w:w="4265" w:type="dxa"/>
          </w:tcPr>
          <w:p>
            <w:pPr>
              <w:jc w:val="center"/>
            </w:pPr>
            <w:r>
              <w:rPr>
                <w:rFonts w:hint="eastAsia"/>
                <w:highlight w:val="yello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Pr>
          <w:p>
            <w:pPr>
              <w:jc w:val="center"/>
            </w:pPr>
            <w:r>
              <w:rPr>
                <w:rFonts w:hint="eastAsia"/>
              </w:rPr>
              <w:t>中标供应商家数</w:t>
            </w:r>
          </w:p>
        </w:tc>
        <w:tc>
          <w:tcPr>
            <w:tcW w:w="4265" w:type="dxa"/>
          </w:tcPr>
          <w:p>
            <w:pPr>
              <w:jc w:val="center"/>
            </w:pPr>
            <w:r>
              <w:rPr>
                <w:rFonts w:hint="eastAsia"/>
              </w:rPr>
              <w:t>1</w:t>
            </w:r>
          </w:p>
        </w:tc>
      </w:tr>
      <w:bookmarkEnd w:id="13"/>
    </w:tbl>
    <w:p>
      <w:pPr>
        <w:tabs>
          <w:tab w:val="left" w:pos="720"/>
        </w:tabs>
        <w:rPr>
          <w:rFonts w:ascii="黑体" w:hAnsi="宋体" w:eastAsia="黑体"/>
          <w:bCs/>
          <w:sz w:val="24"/>
        </w:rPr>
      </w:pPr>
    </w:p>
    <w:p>
      <w:pPr>
        <w:tabs>
          <w:tab w:val="left" w:pos="720"/>
        </w:tabs>
        <w:rPr>
          <w:rFonts w:ascii="黑体" w:hAnsi="宋体" w:eastAsia="黑体"/>
          <w:bCs/>
          <w:sz w:val="24"/>
        </w:rPr>
      </w:pPr>
    </w:p>
    <w:p>
      <w:pPr>
        <w:tabs>
          <w:tab w:val="left" w:pos="720"/>
        </w:tabs>
        <w:rPr>
          <w:rFonts w:ascii="黑体" w:hAnsi="宋体" w:eastAsia="黑体"/>
          <w:bCs/>
          <w:sz w:val="24"/>
        </w:rPr>
      </w:pPr>
      <w:r>
        <w:rPr>
          <w:rFonts w:hint="eastAsia" w:ascii="黑体" w:hAnsi="宋体" w:eastAsia="黑体"/>
          <w:bCs/>
          <w:sz w:val="24"/>
        </w:rPr>
        <w:t>2、关于包组的定义</w:t>
      </w:r>
    </w:p>
    <w:p>
      <w:pPr>
        <w:tabs>
          <w:tab w:val="left" w:pos="720"/>
        </w:tabs>
        <w:ind w:firstLine="420" w:firstLineChars="200"/>
        <w:rPr>
          <w:rFonts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pPr>
        <w:tabs>
          <w:tab w:val="left" w:pos="720"/>
        </w:tabs>
        <w:rPr>
          <w:rFonts w:ascii="黑体" w:hAnsi="宋体" w:eastAsia="黑体"/>
          <w:sz w:val="24"/>
        </w:rPr>
      </w:pPr>
      <w:r>
        <w:rPr>
          <w:rFonts w:hint="eastAsia" w:ascii="黑体" w:hAnsi="宋体" w:eastAsia="黑体"/>
          <w:sz w:val="24"/>
        </w:rPr>
        <w:t>3、关于涉及采取随机抽取方式确定中标候选人（候选中标供应商）的规则</w:t>
      </w:r>
    </w:p>
    <w:p>
      <w:pPr>
        <w:tabs>
          <w:tab w:val="left" w:pos="720"/>
        </w:tabs>
        <w:ind w:firstLine="420" w:firstLineChars="200"/>
        <w:rPr>
          <w:rFonts w:ascii="宋体" w:hAnsi="宋体"/>
        </w:rPr>
      </w:pPr>
      <w:r>
        <w:rPr>
          <w:rFonts w:hint="eastAsia" w:ascii="宋体" w:hAnsi="宋体"/>
        </w:rPr>
        <w:t>（1）采购人代表从1-50号球中抽取一个球：抽到01-25号范围内的球，则抽签号码最小的投标人中签；抽到26-50号范围内的球，则抽签号码最大的投标人中签。各投标人按照《综合得分表》顺序依次抽签。如出现两家或以上投标人最大</w:t>
      </w:r>
      <w:r>
        <w:rPr>
          <w:rFonts w:hint="eastAsia" w:ascii="宋体" w:hAnsi="宋体"/>
          <w:szCs w:val="21"/>
        </w:rPr>
        <w:t>、小</w:t>
      </w:r>
      <w:r>
        <w:rPr>
          <w:rFonts w:hint="eastAsia" w:ascii="宋体" w:hAnsi="宋体"/>
        </w:rPr>
        <w:t>且同号的情况，则对同号的投标人重新摇签确定中签。抽签过程中遇抽签机器卡球的，被卡球方当轮重新抽签。</w:t>
      </w:r>
    </w:p>
    <w:p>
      <w:pPr>
        <w:ind w:firstLine="470" w:firstLineChars="196"/>
        <w:rPr>
          <w:rFonts w:ascii="宋体" w:hAnsi="宋体"/>
          <w:szCs w:val="21"/>
        </w:rPr>
      </w:pPr>
      <w:r>
        <w:rPr>
          <w:rFonts w:hint="eastAsia" w:ascii="黑体" w:hAnsi="宋体" w:eastAsia="黑体"/>
          <w:sz w:val="24"/>
        </w:rPr>
        <w:t>备注：</w:t>
      </w:r>
      <w:r>
        <w:rPr>
          <w:rFonts w:hint="eastAsia" w:ascii="宋体" w:hAnsi="宋体"/>
          <w:szCs w:val="21"/>
        </w:rPr>
        <w:t>（a）建议各投标供应商代表于本项目开标时间起60分钟内到达招标机构服务大厅等候抽签，如抽签程序启动时投标供应商代表未到达，该投标供应商视为自动授权本项目评审委员会代其执行抽签，投标供应商自行承担由此产生的后果。（b）各投标供应商应派法定代表人或投标文件授权的投标代理人作为代表（携带本人身份证）参与本项目抽签,如委派其他人员抽签的,须携带本人身份证、本公司法定代表人授权证明书到现场核验身份。未能按要求提供证明材料的，该投标供应商视为自动授权本项目评审委员会代其执行抽签，投标供应商自行承担由此产生的后果。</w:t>
      </w:r>
    </w:p>
    <w:p>
      <w:pPr>
        <w:ind w:firstLine="420" w:firstLineChars="200"/>
        <w:rPr>
          <w:rFonts w:ascii="宋体" w:hAnsi="宋体"/>
          <w:szCs w:val="21"/>
        </w:rPr>
      </w:pPr>
      <w:r>
        <w:rPr>
          <w:rFonts w:hint="eastAsia" w:ascii="宋体" w:hAnsi="宋体"/>
          <w:szCs w:val="21"/>
        </w:rPr>
        <w:t>（2）评定分离项目如涉及采取抽签方式确定候选中标供应商：（a）排名第一超过三家，则排名第一的投标人中抽签号码最大、小的三家依次入围；（b）排名第一为两家，直接入围，排名第二的超过一家，则排名第二的投标人中抽签号码最大、小的一家入围；（c）排名第一为一家，直接入围，排名第二的超过两家，则排名第二的投标人中抽签号码最大、小的两家依次入围；（d）排名第一与排名第二均为一家，直接入围，排名第三的超过一家，则排名第三的投标人中抽签号码最大、小的一家入围；（e）如确定入围或依次确定入围时出现同号的投标人数量超出拟确定的候选中标供应商差额数量的，则对同号的投标人重新摇签确定入围。</w:t>
      </w:r>
    </w:p>
    <w:p>
      <w:pPr>
        <w:tabs>
          <w:tab w:val="left" w:pos="720"/>
        </w:tabs>
        <w:rPr>
          <w:rFonts w:ascii="黑体" w:hAnsi="宋体" w:eastAsia="黑体"/>
          <w:sz w:val="24"/>
        </w:rPr>
      </w:pPr>
    </w:p>
    <w:p>
      <w:pPr>
        <w:tabs>
          <w:tab w:val="left" w:pos="720"/>
        </w:tabs>
        <w:rPr>
          <w:rFonts w:ascii="黑体" w:hAnsi="宋体" w:eastAsia="黑体"/>
          <w:sz w:val="24"/>
        </w:rPr>
      </w:pPr>
      <w:r>
        <w:rPr>
          <w:rFonts w:hint="eastAsia" w:ascii="黑体" w:hAnsi="宋体" w:eastAsia="黑体"/>
          <w:sz w:val="24"/>
        </w:rPr>
        <w:t>（二）其他事项</w:t>
      </w:r>
    </w:p>
    <w:p>
      <w:pPr>
        <w:tabs>
          <w:tab w:val="left" w:pos="720"/>
        </w:tabs>
        <w:rPr>
          <w:rFonts w:ascii="黑体" w:hAnsi="宋体" w:eastAsia="黑体"/>
          <w:sz w:val="24"/>
        </w:rPr>
      </w:pPr>
      <w:r>
        <w:rPr>
          <w:rFonts w:hint="eastAsia" w:ascii="黑体" w:hAnsi="宋体" w:eastAsia="黑体"/>
          <w:sz w:val="24"/>
        </w:rPr>
        <w:t>1、关于享受优惠政策的主体及价格扣除比例</w:t>
      </w:r>
    </w:p>
    <w:p>
      <w:pPr>
        <w:ind w:firstLine="411" w:firstLineChars="196"/>
        <w:rPr>
          <w:rFonts w:ascii="Arial" w:hAnsi="Arial" w:eastAsia="宋体" w:cs="Times New Roman"/>
          <w:b/>
          <w:color w:val="0000FF"/>
          <w:szCs w:val="21"/>
        </w:rPr>
      </w:pPr>
      <w:r>
        <w:rPr>
          <w:rFonts w:hint="eastAsia" w:ascii="宋体" w:hAnsi="宋体"/>
        </w:rPr>
        <w:t>（1）投标人提供的服务（以招标文件用户需求书“服务需求明细”的“服务需求名称”一栏为准）全部均由优惠主体承接的，对其投标总价给予</w:t>
      </w:r>
      <w:r>
        <w:rPr>
          <w:rFonts w:hint="eastAsia" w:ascii="宋体" w:hAnsi="宋体" w:eastAsia="宋体" w:cs="Times New Roman"/>
          <w:b/>
          <w:sz w:val="24"/>
          <w:szCs w:val="24"/>
          <w:highlight w:val="yellow"/>
          <w:u w:val="single"/>
        </w:rPr>
        <w:t>10%</w:t>
      </w:r>
      <w:r>
        <w:rPr>
          <w:rFonts w:hint="eastAsia" w:ascii="宋体" w:hAnsi="宋体"/>
        </w:rPr>
        <w:t>的扣除，用扣除后的价格参与评审。满足多项优惠政策的企业，不重复享受多项价格扣除政策。接受联合体投标的项目，如供应商为联合体参与投标，联合体共同投标协议中明确注明</w:t>
      </w:r>
      <w:r>
        <w:rPr>
          <w:rFonts w:ascii="宋体" w:hAnsi="宋体"/>
        </w:rPr>
        <w:t>约定优惠主体的协议合同金额占到联合体协议总金额</w:t>
      </w:r>
      <w:r>
        <w:rPr>
          <w:rFonts w:ascii="宋体" w:hAnsi="宋体"/>
          <w:b/>
        </w:rPr>
        <w:t>30%</w:t>
      </w:r>
      <w:r>
        <w:rPr>
          <w:rFonts w:ascii="宋体" w:hAnsi="宋体"/>
        </w:rPr>
        <w:t>以上的，</w:t>
      </w:r>
      <w:r>
        <w:rPr>
          <w:rFonts w:hint="eastAsia" w:ascii="宋体" w:hAnsi="宋体"/>
        </w:rPr>
        <w:t>对该联合体的投标总价给予</w:t>
      </w:r>
      <w:r>
        <w:rPr>
          <w:rFonts w:hint="eastAsia" w:ascii="宋体" w:hAnsi="宋体"/>
          <w:b/>
          <w:bCs/>
          <w:highlight w:val="yellow"/>
          <w:u w:val="single"/>
        </w:rPr>
        <w:t xml:space="preserve"> 4 </w:t>
      </w:r>
      <w:r>
        <w:rPr>
          <w:rFonts w:ascii="宋体" w:hAnsi="宋体"/>
          <w:b/>
          <w:bCs/>
          <w:highlight w:val="yellow"/>
        </w:rPr>
        <w:t>%</w:t>
      </w:r>
      <w:r>
        <w:rPr>
          <w:rFonts w:hint="eastAsia" w:ascii="宋体" w:hAnsi="宋体"/>
        </w:rPr>
        <w:t>的扣除，用扣除后的价格参与评审。联合体各方均为优惠主体的，该联合体视同为优惠主体，按前款规定享受评标优惠政策。</w:t>
      </w:r>
      <w:r>
        <w:rPr>
          <w:rFonts w:hint="eastAsia" w:ascii="Arial" w:hAnsi="Arial" w:eastAsia="宋体" w:cs="Times New Roman"/>
          <w:b/>
          <w:szCs w:val="21"/>
        </w:rPr>
        <w:t>政策调整后价格仅作为评审依据，不作为中标价格。</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备注：</w:t>
      </w:r>
      <w:r>
        <w:rPr>
          <w:rFonts w:hint="eastAsia"/>
          <w:b/>
          <w:bCs/>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b/>
          <w:bCs/>
        </w:rPr>
        <w:t>（b）</w:t>
      </w:r>
      <w:r>
        <w:rPr>
          <w:rFonts w:hint="eastAsia"/>
        </w:rPr>
        <w:t>优惠主体承接是指提供服务的人员为中小企业依照《中华人民共和国劳动合同法》订立劳动合同的从业人员。</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（2）</w:t>
      </w:r>
      <w:bookmarkStart w:id="14" w:name="_Hlk71970739"/>
      <w:r>
        <w:rPr>
          <w:rFonts w:hint="eastAsia"/>
        </w:rPr>
        <w:t>根据《工业和信息化部、国家统计局、国家发展和改革委员会、财政部关于印发中小企业划型标准规定的通知》（工信部联企业〔2011〕300 号）、</w:t>
      </w:r>
      <w:r>
        <w:rPr>
          <w:rFonts w:hint="eastAsia" w:ascii="宋体" w:hAnsi="宋体"/>
          <w:bCs/>
        </w:rPr>
        <w:t>《</w:t>
      </w:r>
      <w:r>
        <w:rPr>
          <w:rFonts w:ascii="宋体" w:hAnsi="宋体"/>
          <w:bCs/>
        </w:rPr>
        <w:t>统计上大中小微型企业划分办法（2017）</w:t>
      </w:r>
      <w:r>
        <w:rPr>
          <w:rFonts w:hint="eastAsia" w:ascii="宋体" w:hAnsi="宋体"/>
          <w:bCs/>
        </w:rPr>
        <w:t>》（国统字〔2017〕213 号）</w:t>
      </w:r>
      <w:r>
        <w:rPr>
          <w:rFonts w:hint="eastAsia"/>
        </w:rPr>
        <w:t>、</w:t>
      </w:r>
      <w:r>
        <w:rPr>
          <w:rFonts w:hint="eastAsia" w:ascii="宋体" w:hAnsi="宋体" w:eastAsia="宋体" w:cs="宋体"/>
          <w:kern w:val="0"/>
          <w:sz w:val="24"/>
          <w:szCs w:val="24"/>
        </w:rPr>
        <w:t>《金融业企业划型标准规定》（银发〔2015〕309号）</w:t>
      </w:r>
      <w:r>
        <w:rPr>
          <w:rFonts w:hint="eastAsia" w:ascii="宋体" w:hAnsi="宋体"/>
          <w:bCs/>
        </w:rPr>
        <w:t>或国务院批准的其他中小企业划分标准文件</w:t>
      </w:r>
      <w:r>
        <w:rPr>
          <w:rFonts w:hint="eastAsia"/>
        </w:rPr>
        <w:t>，本项目</w:t>
      </w:r>
      <w:bookmarkStart w:id="15" w:name="_Hlk71924718"/>
      <w:r>
        <w:rPr>
          <w:rFonts w:hint="eastAsia"/>
        </w:rPr>
        <w:t>采购标的（服务需求）对应的中小企业划分标准所属行业</w:t>
      </w:r>
      <w:bookmarkEnd w:id="15"/>
      <w:r>
        <w:rPr>
          <w:rFonts w:hint="eastAsia"/>
        </w:rPr>
        <w:t>为</w:t>
      </w:r>
      <w:r>
        <w:rPr>
          <w:rFonts w:hint="eastAsia" w:asciiTheme="minorEastAsia" w:hAnsiTheme="minorEastAsia" w:cstheme="minorEastAsia"/>
          <w:b/>
          <w:bCs/>
          <w:color w:val="FF0000"/>
          <w:sz w:val="24"/>
          <w:szCs w:val="24"/>
          <w:u w:val="single"/>
        </w:rPr>
        <w:t>其他未列明行业</w:t>
      </w:r>
      <w:r>
        <w:rPr>
          <w:rFonts w:hint="eastAsia" w:asciiTheme="minorEastAsia" w:hAnsiTheme="minorEastAsia" w:cstheme="minorEastAsia"/>
          <w:szCs w:val="21"/>
        </w:rPr>
        <w:t>。</w:t>
      </w:r>
      <w:bookmarkEnd w:id="14"/>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w:t>
      </w:r>
    </w:p>
    <w:p>
      <w:pPr>
        <w:ind w:firstLine="420" w:firstLineChars="200"/>
        <w:rPr>
          <w:rFonts w:asciiTheme="minorEastAsia" w:hAnsiTheme="minorEastAsia" w:cstheme="minorEastAsia"/>
          <w:szCs w:val="21"/>
        </w:rPr>
      </w:pPr>
      <w:r>
        <w:rPr>
          <w:rFonts w:hint="eastAsia" w:asciiTheme="minorEastAsia" w:hAnsiTheme="minorEastAsia" w:cstheme="minorEastAsia"/>
          <w:szCs w:val="21"/>
        </w:rPr>
        <w:t>（4）享受价格扣除获得政府采购合同的，小微企业不得将合同分包给大中型企业。</w:t>
      </w:r>
    </w:p>
    <w:p>
      <w:pPr>
        <w:tabs>
          <w:tab w:val="left" w:pos="720"/>
        </w:tabs>
        <w:ind w:firstLine="420" w:firstLineChars="200"/>
        <w:rPr>
          <w:rFonts w:ascii="宋体" w:hAnsi="宋体"/>
          <w:bCs/>
        </w:rPr>
      </w:pPr>
    </w:p>
    <w:p>
      <w:pPr>
        <w:ind w:firstLine="420" w:firstLineChars="200"/>
        <w:rPr>
          <w:rFonts w:asciiTheme="minorEastAsia" w:hAnsiTheme="minorEastAsia" w:cstheme="minorEastAsia"/>
          <w:szCs w:val="21"/>
        </w:rPr>
      </w:pPr>
    </w:p>
    <w:p>
      <w:pPr>
        <w:spacing w:line="360" w:lineRule="auto"/>
        <w:rPr>
          <w:rFonts w:ascii="宋体" w:hAnsi="宋体" w:eastAsia="宋体" w:cs="宋体"/>
          <w:b/>
          <w:bCs/>
          <w:szCs w:val="24"/>
        </w:rPr>
      </w:pPr>
      <w:r>
        <w:rPr>
          <w:rFonts w:hint="eastAsia" w:ascii="宋体" w:hAnsi="宋体" w:eastAsia="宋体" w:cs="宋体"/>
          <w:b/>
          <w:bCs/>
          <w:szCs w:val="24"/>
        </w:rPr>
        <w:t>2.关于政府采购订单融资政策</w:t>
      </w:r>
    </w:p>
    <w:p>
      <w:pPr>
        <w:ind w:firstLine="420" w:firstLineChars="200"/>
        <w:rPr>
          <w:rFonts w:ascii="宋体" w:hAnsi="宋体" w:eastAsia="宋体" w:cs="Times New Roman"/>
          <w:b/>
          <w:szCs w:val="24"/>
        </w:rPr>
      </w:pPr>
      <w:r>
        <w:rPr>
          <w:rFonts w:hint="eastAsia" w:ascii="Times New Roman" w:hAnsi="Times New Roman" w:eastAsia="宋体" w:cs="Times New Roman"/>
          <w:color w:val="FF0000"/>
          <w:szCs w:val="24"/>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tabs>
          <w:tab w:val="left" w:pos="720"/>
        </w:tabs>
        <w:rPr>
          <w:rFonts w:ascii="黑体" w:hAnsi="宋体" w:eastAsia="黑体"/>
          <w:sz w:val="24"/>
        </w:rPr>
      </w:pPr>
    </w:p>
    <w:p>
      <w:pPr>
        <w:tabs>
          <w:tab w:val="left" w:pos="720"/>
        </w:tabs>
        <w:rPr>
          <w:rFonts w:ascii="宋体" w:hAnsi="宋体"/>
          <w:b/>
          <w:bCs/>
          <w:color w:val="FF0000"/>
        </w:rPr>
      </w:pPr>
      <w:r>
        <w:rPr>
          <w:rFonts w:hint="eastAsia" w:ascii="宋体" w:hAnsi="宋体"/>
          <w:b/>
          <w:bCs/>
          <w:color w:val="FF0000"/>
        </w:rPr>
        <w:t>3、</w:t>
      </w:r>
      <w:r>
        <w:rPr>
          <w:rFonts w:ascii="宋体" w:hAnsi="宋体"/>
          <w:b/>
          <w:bCs/>
          <w:color w:val="FF0000"/>
        </w:rPr>
        <w:t>本项目为代理服务项目，将向中标供应商收取代理服务费</w:t>
      </w:r>
      <w:r>
        <w:rPr>
          <w:rFonts w:hint="eastAsia" w:ascii="宋体" w:hAnsi="宋体"/>
          <w:b/>
          <w:bCs/>
          <w:color w:val="FF0000"/>
        </w:rPr>
        <w:t>。</w:t>
      </w:r>
    </w:p>
    <w:p>
      <w:pPr>
        <w:widowControl/>
        <w:ind w:firstLine="420"/>
        <w:jc w:val="left"/>
        <w:rPr>
          <w:rFonts w:ascii="宋体" w:hAnsi="宋体"/>
          <w:color w:val="FF0000"/>
          <w:szCs w:val="21"/>
        </w:rPr>
      </w:pPr>
      <w:r>
        <w:rPr>
          <w:rFonts w:hint="eastAsia" w:ascii="宋体" w:hAnsi="宋体"/>
          <w:color w:val="FF0000"/>
          <w:szCs w:val="21"/>
        </w:rPr>
        <w:t>中标供应商在领取《中标通知书》之前须向深圳公共资源交易中心（深圳交易集团有限公司宝安分公司）交纳代理服务费。若因中标供应商交纳代理服务费所产生的时间影响到合同签订的，由中标供应商自行承担责任。代理服务费标准参照下列标准收取。本项目类型为</w:t>
      </w:r>
      <w:r>
        <w:rPr>
          <w:rFonts w:hint="eastAsia" w:ascii="宋体" w:hAnsi="宋体"/>
          <w:b/>
          <w:bCs/>
          <w:color w:val="FF0000"/>
          <w:szCs w:val="21"/>
          <w:u w:val="single"/>
        </w:rPr>
        <w:t>服务采购</w:t>
      </w:r>
      <w:r>
        <w:rPr>
          <w:rFonts w:hint="eastAsia" w:ascii="宋体" w:hAnsi="宋体"/>
          <w:color w:val="FF0000"/>
          <w:szCs w:val="21"/>
        </w:rPr>
        <w:t>：</w:t>
      </w:r>
    </w:p>
    <w:p>
      <w:pPr>
        <w:widowControl/>
        <w:ind w:firstLine="420"/>
        <w:jc w:val="left"/>
        <w:rPr>
          <w:rFonts w:ascii="宋体" w:hAnsi="宋体"/>
          <w:color w:val="FF0000"/>
          <w:szCs w:val="21"/>
        </w:rPr>
      </w:pPr>
      <w:r>
        <w:rPr>
          <w:rFonts w:hint="eastAsia" w:ascii="宋体" w:hAnsi="宋体"/>
          <w:color w:val="FF0000"/>
          <w:szCs w:val="21"/>
        </w:rPr>
        <w:t>（一）代理服务费以《中标通知书》确定的成交金额作为计算基数，按差额定率累进法计算。</w:t>
      </w:r>
    </w:p>
    <w:p>
      <w:pPr>
        <w:widowControl/>
        <w:ind w:firstLine="420"/>
        <w:jc w:val="left"/>
        <w:rPr>
          <w:rFonts w:ascii="宋体" w:hAnsi="宋体"/>
          <w:color w:val="FF0000"/>
          <w:szCs w:val="21"/>
        </w:rPr>
      </w:pPr>
      <w:r>
        <w:rPr>
          <w:rFonts w:hint="eastAsia" w:ascii="宋体" w:hAnsi="宋体"/>
          <w:color w:val="FF0000"/>
          <w:szCs w:val="21"/>
        </w:rPr>
        <w:t>（二）中标金额的各部分费率如下表：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成交金额</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ascii="宋体" w:hAnsi="宋体"/>
                <w:color w:val="FF0000"/>
                <w:szCs w:val="21"/>
              </w:rPr>
            </w:pPr>
            <w:r>
              <w:rPr>
                <w:rFonts w:hint="eastAsia" w:ascii="宋体" w:hAnsi="宋体"/>
                <w:color w:val="FF0000"/>
                <w:szCs w:val="21"/>
              </w:rPr>
              <w:t>0.004%</w:t>
            </w:r>
          </w:p>
        </w:tc>
      </w:tr>
    </w:tbl>
    <w:p>
      <w:pPr>
        <w:widowControl/>
        <w:ind w:firstLine="420"/>
        <w:jc w:val="left"/>
        <w:rPr>
          <w:rFonts w:ascii="宋体" w:hAnsi="宋体"/>
          <w:color w:val="FF0000"/>
          <w:szCs w:val="21"/>
        </w:rPr>
      </w:pPr>
      <w:r>
        <w:rPr>
          <w:rFonts w:hint="eastAsia" w:ascii="宋体" w:hAnsi="宋体"/>
          <w:color w:val="FF0000"/>
          <w:szCs w:val="21"/>
        </w:rPr>
        <w:t>备注：1.每宗交易代理服务费不低于 5000 元；</w:t>
      </w:r>
    </w:p>
    <w:p>
      <w:pPr>
        <w:widowControl/>
        <w:ind w:firstLine="420"/>
        <w:jc w:val="left"/>
        <w:rPr>
          <w:rFonts w:ascii="宋体" w:hAnsi="宋体"/>
          <w:color w:val="FF0000"/>
          <w:szCs w:val="21"/>
        </w:rPr>
      </w:pPr>
      <w:r>
        <w:rPr>
          <w:rFonts w:hint="eastAsia" w:ascii="宋体" w:hAnsi="宋体"/>
          <w:color w:val="FF0000"/>
          <w:szCs w:val="21"/>
        </w:rPr>
        <w:t>2.对于报总价的采购类项目，成交价为成交金额；对于报单价或折扣或费率的采购类项目，成交价为预算上限金额或经委托方与代理方确定的支付上限金额。</w:t>
      </w:r>
    </w:p>
    <w:p>
      <w:pPr>
        <w:widowControl/>
        <w:ind w:firstLine="420"/>
        <w:jc w:val="left"/>
        <w:rPr>
          <w:rFonts w:ascii="宋体" w:hAnsi="宋体"/>
          <w:color w:val="FF0000"/>
          <w:szCs w:val="21"/>
        </w:rPr>
      </w:pPr>
      <w:r>
        <w:rPr>
          <w:rFonts w:hint="eastAsia" w:ascii="宋体" w:hAnsi="宋体"/>
          <w:color w:val="FF0000"/>
          <w:szCs w:val="21"/>
        </w:rPr>
        <w:t>如某货物采购项目，成交金额为600万元，总共交纳的代理服务费的具体计算过程如下：</w:t>
      </w:r>
    </w:p>
    <w:p>
      <w:pPr>
        <w:widowControl/>
        <w:ind w:firstLine="420"/>
        <w:jc w:val="left"/>
        <w:rPr>
          <w:rFonts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ascii="宋体" w:hAnsi="宋体"/>
          <w:color w:val="FF0000"/>
          <w:szCs w:val="21"/>
        </w:rPr>
      </w:pPr>
      <w:r>
        <w:rPr>
          <w:rFonts w:hint="eastAsia" w:ascii="宋体" w:hAnsi="宋体"/>
          <w:color w:val="FF0000"/>
          <w:szCs w:val="21"/>
        </w:rPr>
        <w:t>（三）中标供应商成交后，必须按规定采用银行对公转账方式向深圳交易集团有限公司直接交纳代理服务费，交纳信息及要求按以下规定执行：</w:t>
      </w:r>
    </w:p>
    <w:p>
      <w:pPr>
        <w:widowControl/>
        <w:ind w:firstLine="420"/>
        <w:jc w:val="left"/>
        <w:rPr>
          <w:rFonts w:ascii="宋体" w:hAnsi="宋体"/>
          <w:color w:val="FF0000"/>
          <w:szCs w:val="21"/>
        </w:rPr>
      </w:pPr>
      <w:r>
        <w:rPr>
          <w:rFonts w:hint="eastAsia" w:ascii="宋体" w:hAnsi="宋体"/>
          <w:color w:val="FF0000"/>
          <w:szCs w:val="21"/>
        </w:rPr>
        <w:t>经营性账户信息如下：</w:t>
      </w:r>
    </w:p>
    <w:p>
      <w:pPr>
        <w:widowControl/>
        <w:ind w:firstLine="420"/>
        <w:jc w:val="left"/>
        <w:rPr>
          <w:rFonts w:ascii="宋体" w:hAnsi="宋体"/>
          <w:color w:val="FF0000"/>
          <w:szCs w:val="21"/>
        </w:rPr>
      </w:pPr>
      <w:r>
        <w:rPr>
          <w:rFonts w:hint="eastAsia" w:ascii="宋体" w:hAnsi="宋体"/>
          <w:color w:val="FF0000"/>
          <w:szCs w:val="21"/>
        </w:rPr>
        <w:t>账户名：深圳交易集团有限公司</w:t>
      </w:r>
    </w:p>
    <w:p>
      <w:pPr>
        <w:widowControl/>
        <w:ind w:firstLine="420"/>
        <w:jc w:val="left"/>
        <w:rPr>
          <w:rFonts w:ascii="宋体" w:hAnsi="宋体"/>
          <w:color w:val="FF0000"/>
          <w:szCs w:val="21"/>
        </w:rPr>
      </w:pPr>
      <w:r>
        <w:rPr>
          <w:rFonts w:hint="eastAsia" w:ascii="宋体" w:hAnsi="宋体"/>
          <w:color w:val="FF0000"/>
          <w:szCs w:val="21"/>
        </w:rPr>
        <w:t>账号：632765963</w:t>
      </w:r>
    </w:p>
    <w:p>
      <w:pPr>
        <w:widowControl/>
        <w:ind w:firstLine="420"/>
        <w:jc w:val="left"/>
        <w:rPr>
          <w:rFonts w:ascii="宋体" w:hAnsi="宋体"/>
          <w:color w:val="FF0000"/>
          <w:szCs w:val="21"/>
        </w:rPr>
      </w:pPr>
      <w:r>
        <w:rPr>
          <w:rFonts w:hint="eastAsia" w:ascii="宋体" w:hAnsi="宋体"/>
          <w:color w:val="FF0000"/>
          <w:szCs w:val="21"/>
        </w:rPr>
        <w:t>开户行：中国民生银行深圳五洲支行</w:t>
      </w:r>
    </w:p>
    <w:p>
      <w:pPr>
        <w:widowControl/>
        <w:ind w:firstLine="420"/>
        <w:jc w:val="left"/>
        <w:rPr>
          <w:rFonts w:ascii="宋体" w:hAnsi="宋体"/>
          <w:color w:val="FF0000"/>
          <w:szCs w:val="21"/>
        </w:rPr>
      </w:pPr>
      <w:r>
        <w:rPr>
          <w:rFonts w:hint="eastAsia" w:ascii="宋体" w:hAnsi="宋体"/>
          <w:color w:val="FF0000"/>
          <w:szCs w:val="21"/>
        </w:rPr>
        <w:t>转账备注：项目编号+项目名称</w:t>
      </w:r>
    </w:p>
    <w:p>
      <w:pPr>
        <w:pStyle w:val="9"/>
        <w:rPr>
          <w:rFonts w:ascii="宋体" w:hAnsi="宋体"/>
          <w:color w:val="FF0000"/>
          <w:szCs w:val="21"/>
        </w:rPr>
      </w:pPr>
    </w:p>
    <w:p>
      <w:pPr>
        <w:widowControl/>
        <w:jc w:val="left"/>
        <w:rPr>
          <w:rFonts w:ascii="宋体" w:hAnsi="宋体"/>
          <w:color w:val="FF0000"/>
          <w:sz w:val="24"/>
          <w:szCs w:val="21"/>
        </w:rPr>
      </w:pPr>
      <w:r>
        <w:rPr>
          <w:rFonts w:ascii="宋体" w:hAnsi="宋体"/>
          <w:color w:val="FF0000"/>
          <w:szCs w:val="21"/>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asciiTheme="minorEastAsia" w:hAnsiTheme="minorEastAsia"/>
                <w:sz w:val="24"/>
                <w:szCs w:val="24"/>
              </w:rPr>
            </w:pPr>
            <w:r>
              <w:rPr>
                <w:rFonts w:asciiTheme="minorEastAsia" w:hAnsiTheme="minorEastAsia"/>
                <w:sz w:val="24"/>
                <w:szCs w:val="24"/>
              </w:rPr>
              <w:t>BAJYJ2024011501133C</w:t>
            </w:r>
          </w:p>
        </w:tc>
        <w:tc>
          <w:tcPr>
            <w:tcW w:w="2906" w:type="dxa"/>
            <w:tcBorders>
              <w:top w:val="single" w:color="000000" w:sz="4" w:space="0"/>
              <w:left w:val="single" w:color="000000" w:sz="4" w:space="0"/>
              <w:right w:val="single" w:color="000000" w:sz="4" w:space="0"/>
            </w:tcBorders>
            <w:vAlign w:val="center"/>
          </w:tcPr>
          <w:p>
            <w:pPr>
              <w:jc w:val="center"/>
              <w:rPr>
                <w:rFonts w:asciiTheme="minorEastAsia" w:hAnsiTheme="minorEastAsia"/>
                <w:sz w:val="24"/>
                <w:szCs w:val="24"/>
              </w:rPr>
            </w:pPr>
            <w:r>
              <w:rPr>
                <w:rFonts w:hint="eastAsia" w:asciiTheme="minorEastAsia" w:hAnsiTheme="minorEastAsia"/>
                <w:sz w:val="24"/>
                <w:szCs w:val="24"/>
              </w:rPr>
              <w:t>深圳市宝安职业教育集团第二校区2024年引进外籍教师国际课程服务</w:t>
            </w:r>
          </w:p>
          <w:p>
            <w:pPr>
              <w:jc w:val="center"/>
            </w:pPr>
            <w:r>
              <w:rPr>
                <w:rFonts w:hint="eastAsia" w:asciiTheme="minorEastAsia" w:hAnsiTheme="minorEastAsia"/>
                <w:sz w:val="24"/>
                <w:szCs w:val="24"/>
              </w:rPr>
              <w:t>（</w:t>
            </w:r>
            <w:r>
              <w:rPr>
                <w:rFonts w:hint="eastAsia" w:cs="Times New Roman" w:asciiTheme="minorEastAsia" w:hAnsiTheme="minorEastAsia"/>
                <w:sz w:val="24"/>
                <w:szCs w:val="24"/>
              </w:rPr>
              <w:t>A包</w:t>
            </w:r>
            <w:r>
              <w:rPr>
                <w:rFonts w:hint="eastAsia" w:asciiTheme="minorEastAsia" w:hAnsiTheme="minorEastAsia"/>
                <w:sz w:val="24"/>
                <w:szCs w:val="24"/>
              </w:rPr>
              <w:t>）</w:t>
            </w:r>
          </w:p>
        </w:tc>
        <w:tc>
          <w:tcPr>
            <w:tcW w:w="2622"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sz w:val="24"/>
                <w:szCs w:val="24"/>
              </w:rPr>
            </w:pPr>
            <w:r>
              <w:rPr>
                <w:rFonts w:asciiTheme="minorEastAsia" w:hAnsiTheme="minorEastAsia"/>
                <w:sz w:val="24"/>
                <w:szCs w:val="24"/>
              </w:rPr>
              <w:t>280,000.00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pPr>
            <w:r>
              <w:rPr>
                <w:rFonts w:hint="eastAsia"/>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pPr>
              <w:jc w:val="center"/>
              <w:rPr>
                <w:rFonts w:asciiTheme="minorEastAsia" w:hAnsiTheme="minorEastAsia"/>
                <w:sz w:val="24"/>
                <w:szCs w:val="24"/>
              </w:rPr>
            </w:pPr>
            <w:r>
              <w:rPr>
                <w:rFonts w:asciiTheme="minorEastAsia" w:hAnsiTheme="minorEastAsia"/>
                <w:sz w:val="24"/>
                <w:szCs w:val="24"/>
              </w:rPr>
              <w:t>280,000.00</w:t>
            </w:r>
          </w:p>
        </w:tc>
      </w:tr>
    </w:tbl>
    <w:p>
      <w:pPr>
        <w:rPr>
          <w:sz w:val="24"/>
          <w:szCs w:val="24"/>
        </w:rPr>
      </w:pPr>
      <w:r>
        <w:rPr>
          <w:rFonts w:hint="eastAsia" w:ascii="Arial" w:hAnsi="Arial" w:eastAsia="宋体" w:cs="Times New Roman"/>
          <w:b/>
          <w:color w:val="FF0000"/>
          <w:sz w:val="24"/>
          <w:szCs w:val="24"/>
        </w:rPr>
        <w:t>本项目控制金额为人民币</w:t>
      </w:r>
      <w:r>
        <w:rPr>
          <w:rFonts w:ascii="Arial" w:hAnsi="Arial" w:eastAsia="宋体" w:cs="Times New Roman"/>
          <w:b/>
          <w:color w:val="0000FF"/>
          <w:sz w:val="24"/>
          <w:szCs w:val="24"/>
        </w:rPr>
        <w:t>280,000.00</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二、服务需求明细</w:t>
      </w:r>
    </w:p>
    <w:tbl>
      <w:tblPr>
        <w:tblStyle w:val="16"/>
        <w:tblW w:w="9019" w:type="dxa"/>
        <w:jc w:val="center"/>
        <w:tblLayout w:type="fixed"/>
        <w:tblCellMar>
          <w:top w:w="15" w:type="dxa"/>
          <w:left w:w="15" w:type="dxa"/>
          <w:bottom w:w="15" w:type="dxa"/>
          <w:right w:w="15" w:type="dxa"/>
        </w:tblCellMar>
      </w:tblPr>
      <w:tblGrid>
        <w:gridCol w:w="691"/>
        <w:gridCol w:w="3969"/>
        <w:gridCol w:w="869"/>
        <w:gridCol w:w="850"/>
        <w:gridCol w:w="1542"/>
        <w:gridCol w:w="1098"/>
      </w:tblGrid>
      <w:tr>
        <w:tblPrEx>
          <w:tblCellMar>
            <w:top w:w="15" w:type="dxa"/>
            <w:left w:w="15" w:type="dxa"/>
            <w:bottom w:w="15" w:type="dxa"/>
            <w:right w:w="15" w:type="dxa"/>
          </w:tblCellMar>
        </w:tblPrEx>
        <w:trPr>
          <w:trHeight w:val="552" w:hRule="atLeast"/>
          <w:jc w:val="center"/>
        </w:trPr>
        <w:tc>
          <w:tcPr>
            <w:tcW w:w="691"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bCs/>
              </w:rPr>
            </w:pPr>
            <w:r>
              <w:rPr>
                <w:rFonts w:hint="eastAsia"/>
                <w:b/>
                <w:bCs/>
              </w:rPr>
              <w:t>序号</w:t>
            </w:r>
          </w:p>
        </w:tc>
        <w:tc>
          <w:tcPr>
            <w:tcW w:w="3969"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服务需求名称（标的名称）</w:t>
            </w:r>
          </w:p>
        </w:tc>
        <w:tc>
          <w:tcPr>
            <w:tcW w:w="869"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数量</w:t>
            </w:r>
          </w:p>
        </w:tc>
        <w:tc>
          <w:tcPr>
            <w:tcW w:w="850"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单位</w:t>
            </w:r>
          </w:p>
        </w:tc>
        <w:tc>
          <w:tcPr>
            <w:tcW w:w="154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所属行业</w:t>
            </w:r>
          </w:p>
        </w:tc>
        <w:tc>
          <w:tcPr>
            <w:tcW w:w="1098"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bCs/>
              </w:rPr>
            </w:pPr>
            <w:r>
              <w:rPr>
                <w:rFonts w:hint="eastAsia"/>
                <w:b/>
                <w:bCs/>
              </w:rPr>
              <w:t>备注</w:t>
            </w:r>
          </w:p>
        </w:tc>
      </w:tr>
      <w:tr>
        <w:tblPrEx>
          <w:tblCellMar>
            <w:top w:w="15" w:type="dxa"/>
            <w:left w:w="15" w:type="dxa"/>
            <w:bottom w:w="15" w:type="dxa"/>
            <w:right w:w="15" w:type="dxa"/>
          </w:tblCellMar>
        </w:tblPrEx>
        <w:trPr>
          <w:trHeight w:val="841" w:hRule="atLeast"/>
          <w:jc w:val="center"/>
        </w:trPr>
        <w:tc>
          <w:tcPr>
            <w:tcW w:w="691" w:type="dxa"/>
            <w:tcBorders>
              <w:top w:val="single" w:color="000000" w:sz="4" w:space="0"/>
              <w:left w:val="single" w:color="000000" w:sz="4" w:space="0"/>
              <w:bottom w:val="single" w:color="000000" w:sz="4" w:space="0"/>
              <w:right w:val="single" w:color="auto" w:sz="4" w:space="0"/>
            </w:tcBorders>
            <w:vAlign w:val="center"/>
          </w:tcPr>
          <w:p>
            <w:pPr>
              <w:jc w:val="center"/>
            </w:pPr>
            <w:r>
              <w:rPr>
                <w:rFonts w:hint="eastAsia"/>
              </w:rPr>
              <w:t>1</w:t>
            </w:r>
          </w:p>
        </w:tc>
        <w:tc>
          <w:tcPr>
            <w:tcW w:w="3969" w:type="dxa"/>
            <w:tcBorders>
              <w:top w:val="single" w:color="000000" w:sz="4" w:space="0"/>
              <w:left w:val="single" w:color="auto" w:sz="4" w:space="0"/>
              <w:bottom w:val="single" w:color="000000" w:sz="4" w:space="0"/>
              <w:right w:val="single" w:color="000000" w:sz="4" w:space="0"/>
            </w:tcBorders>
            <w:vAlign w:val="center"/>
          </w:tcPr>
          <w:p>
            <w:pPr>
              <w:jc w:val="center"/>
            </w:pPr>
            <w:r>
              <w:rPr>
                <w:rFonts w:hint="eastAsia"/>
              </w:rPr>
              <w:t>深圳市宝安职业教育集团第二校区2024年引进外籍教师国际课程服务</w:t>
            </w:r>
          </w:p>
          <w:p>
            <w:pPr>
              <w:jc w:val="center"/>
            </w:pPr>
            <w:r>
              <w:rPr>
                <w:rFonts w:hint="eastAsia"/>
              </w:rPr>
              <w:t>（A包）</w:t>
            </w:r>
          </w:p>
        </w:tc>
        <w:tc>
          <w:tcPr>
            <w:tcW w:w="869"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rFonts w:hint="eastAsia"/>
                <w:bCs/>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rFonts w:hint="eastAsia"/>
                <w:bCs/>
              </w:rPr>
              <w:t>项</w:t>
            </w: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bCs/>
              </w:rPr>
            </w:pPr>
            <w:r>
              <w:rPr>
                <w:rFonts w:hint="eastAsia"/>
                <w:bCs/>
              </w:rPr>
              <w:t>其他未列明行业</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bCs/>
              </w:rPr>
            </w:pPr>
          </w:p>
        </w:tc>
      </w:tr>
    </w:tbl>
    <w:p/>
    <w:p>
      <w:r>
        <w:rPr>
          <w:rFonts w:hint="eastAsia" w:ascii="Arial" w:hAnsi="Arial" w:eastAsia="宋体" w:cs="Times New Roman"/>
          <w:b/>
          <w:sz w:val="32"/>
          <w:szCs w:val="32"/>
        </w:rPr>
        <w:t>项目概况如下：</w:t>
      </w:r>
    </w:p>
    <w:p>
      <w:pPr>
        <w:rPr>
          <w:rFonts w:asciiTheme="minorEastAsia" w:hAnsiTheme="minorEastAsia"/>
          <w:bCs/>
          <w:sz w:val="24"/>
          <w:szCs w:val="24"/>
          <w:highlight w:val="yellow"/>
        </w:rPr>
      </w:pPr>
      <w:r>
        <w:rPr>
          <w:rFonts w:hint="eastAsia" w:ascii="仿宋_GB2312" w:hAnsi="华文仿宋" w:eastAsia="仿宋_GB2312"/>
          <w:sz w:val="28"/>
          <w:szCs w:val="28"/>
        </w:rPr>
        <w:t>2017年，在国务院办公厅印发《关于深化产教融合的若干意见》等大力发展职业教育的政策支持下，深圳市宝安职业教育集团第二校区首次开设中德“双元制”实验班。现根据实验班发展需要，拟通过公开招标的方式引进1名外籍教师在校内开展外语教学活动，并配合学校对接德国学校组织、策划国际交流活动，旨在提高学生外语能力及国际化视野，推进特色专业建设，构建完善人才培养方案，提升高素质技术技能人才培养水平，进一步满足区域经济和行业发展需要，服务宝安对德（欧）合作。</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widowControl/>
        <w:jc w:val="center"/>
      </w:pPr>
      <w:bookmarkStart w:id="16" w:name="_Toc128884461"/>
      <w:r>
        <w:rPr>
          <w:rFonts w:hint="eastAsia"/>
        </w:rPr>
        <w:t>三、实质性条款</w:t>
      </w:r>
    </w:p>
    <w:tbl>
      <w:tblPr>
        <w:tblStyle w:val="16"/>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pPr>
              <w:jc w:val="center"/>
            </w:pPr>
            <w:r>
              <w:rPr>
                <w:rFonts w:hint="eastAsia"/>
              </w:rPr>
              <w:t>1</w:t>
            </w:r>
          </w:p>
        </w:tc>
        <w:tc>
          <w:tcPr>
            <w:tcW w:w="7483" w:type="dxa"/>
          </w:tcPr>
          <w:p>
            <w:pPr>
              <w:jc w:val="center"/>
            </w:pPr>
            <w:r>
              <w:rPr>
                <w:rFonts w:hint="eastAsia"/>
              </w:rPr>
              <w:t>本项目招标文件中所有带★号条款内容</w:t>
            </w:r>
          </w:p>
        </w:tc>
      </w:tr>
      <w:bookmarkEnd w:id="16"/>
    </w:tbl>
    <w:p>
      <w:r>
        <w:rPr>
          <w:rFonts w:hint="eastAsia"/>
          <w:b/>
          <w:color w:val="FF0000"/>
        </w:rPr>
        <w:t>注</w:t>
      </w:r>
      <w:r>
        <w:rPr>
          <w:rFonts w:hint="eastAsia"/>
        </w:rPr>
        <w:t>：</w:t>
      </w:r>
      <w:r>
        <w:rPr>
          <w:rFonts w:hint="eastAsia"/>
          <w:b/>
          <w:color w:val="FF0000"/>
        </w:rPr>
        <w:t>上表所列内容为不可负偏离条款，负偏离将视为未实质性满足招标文件要求和条件作投标无效处理。</w:t>
      </w:r>
    </w:p>
    <w:p>
      <w:pPr>
        <w:rPr>
          <w:b/>
          <w:color w:val="FF0000"/>
        </w:rPr>
      </w:pPr>
    </w:p>
    <w:p>
      <w:pPr>
        <w:keepNext/>
        <w:keepLines/>
        <w:tabs>
          <w:tab w:val="left" w:pos="1680"/>
        </w:tabs>
        <w:spacing w:before="260" w:afterLines="25"/>
        <w:jc w:val="center"/>
        <w:outlineLvl w:val="2"/>
        <w:rPr>
          <w:rFonts w:ascii="Arial" w:hAnsi="Arial" w:eastAsia="宋体" w:cs="Times New Roman"/>
          <w:b/>
          <w:bCs/>
          <w:color w:val="FF0000"/>
          <w:sz w:val="32"/>
          <w:szCs w:val="32"/>
        </w:rPr>
      </w:pPr>
      <w:r>
        <w:rPr>
          <w:rFonts w:hint="eastAsia"/>
          <w:b/>
          <w:color w:val="FF0000"/>
          <w:sz w:val="32"/>
          <w:szCs w:val="32"/>
        </w:rPr>
        <w:t>★四</w:t>
      </w:r>
      <w:r>
        <w:rPr>
          <w:rFonts w:hint="eastAsia" w:ascii="Arial" w:hAnsi="Arial" w:eastAsia="宋体" w:cs="Times New Roman"/>
          <w:b/>
          <w:bCs/>
          <w:color w:val="FF0000"/>
          <w:sz w:val="32"/>
          <w:szCs w:val="32"/>
        </w:rPr>
        <w:t>、商务和服务条款部分</w:t>
      </w:r>
    </w:p>
    <w:p>
      <w:pPr>
        <w:rPr>
          <w:b/>
          <w:color w:val="FF0000"/>
        </w:rPr>
      </w:pPr>
      <w:r>
        <w:rPr>
          <w:rFonts w:hint="eastAsia"/>
          <w:b/>
          <w:color w:val="FF0000"/>
        </w:rPr>
        <w:t>1.本部分内容为项目正常开展的基本要求，均为★号条款要求，投标人必须完全响应满足本部分的全部内容，否则将导致投标无效。投标人是否满足本部分带★号条款要求，以《实质性条款响应情况表》响应为准。</w:t>
      </w:r>
    </w:p>
    <w:p>
      <w:pPr>
        <w:rPr>
          <w:b/>
          <w:color w:val="FF0000"/>
        </w:rPr>
      </w:pPr>
      <w:r>
        <w:rPr>
          <w:rFonts w:hint="eastAsia"/>
          <w:b/>
          <w:color w:val="FF0000"/>
        </w:rPr>
        <w:t>2.如投标人中标后被发现不能满足本部分带★号条款要求的，采购单位有权拒绝签订合同，一切后果由投标人承担。</w:t>
      </w:r>
    </w:p>
    <w:p>
      <w:pPr>
        <w:pStyle w:val="9"/>
        <w:rPr>
          <w:color w:val="FF0000"/>
        </w:rPr>
      </w:pP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1.服务期限：</w:t>
      </w:r>
      <w:r>
        <w:rPr>
          <w:rFonts w:hint="eastAsia" w:ascii="仿宋_GB2312" w:hAnsi="仿宋_GB2312" w:eastAsia="仿宋_GB2312" w:cs="仿宋_GB2312"/>
          <w:sz w:val="28"/>
          <w:szCs w:val="28"/>
        </w:rPr>
        <w:t>服务期限为1年。本项目为长期服务项目，合同期限可以延长，但最长不超过3年。</w:t>
      </w:r>
    </w:p>
    <w:p>
      <w:pPr>
        <w:spacing w:line="52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2.服务内容：</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（1）选派1名外籍教师为学校提供外语教学服务，提供以德语、英语为主的语言类课程，视情况开设学科类课程；</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（2）配合学校对接德国学校组织、策划国际交流活动。每自然年与德国学校或德国职业教育专家开展至少一次线上或线下交流活动（形式不限）；</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（3）投标人在中标后配备专职项目管理服务团队，含1名项目负责人及至少1名中方服务人员。</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外籍教师原则上应从事其母语国母语教学，并取得大学学士及以上学位且具有相关学科2年以上教育教学工作经历或者相关领域工作经历，满足以下情形之一的可以免除工作经历要求：①取得教育类、语言类或师范类学士及以上学位的；②取得所在国教师资格证书或取得符合要求的国际语言教学证书的；③外籍人员已获得博士学位。</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（5）外籍教师口音纯正，口语流利、品行优秀、无犯罪记录；</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（6）外籍教师身体健康（入境后必须经指定的中国医疗机构通过健康检查）；</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（7）在工作期间，外籍教师需配合学校参加与教学相关的活动的组织、策划等工作；</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外籍教师必须遵守中国有关外国专家管理规定，符合国家、省、市外国专家局、外事办和出入境管理部门等各级主管部门所规定的文教专家的引进条件，并持有符合国家、省、市外国专家局、外事办和出入境管理部门等各级主管部门所规定的所有合法手续及有效证件，符合相应课程类型对外籍教师的资质要求；</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（9）外籍教师必须遵守学校规章制度、工作时间，服从学校的教学安排。课程安排每周授课不超过16课时；</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（10）外籍教师的请假制度需遵照学校的要求，确实有事或疾病要按规定提前请假；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（12）外籍教师需满足学校教学教研需求，着力提升宝安区基础教育国际化水平，促进宝安教育城市化、现代化、信息化、国际化。</w:t>
      </w:r>
    </w:p>
    <w:p>
      <w:pPr>
        <w:spacing w:line="5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3.工作质量要求：</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中标供应商所提供的外籍教师需符合国家、省、市外国专家局、外事办和出入境管理部门等各级主管部门所规定的文教专家的引进条件。自合同签订之日起7天内，至少提供1.2倍的中标人数的候选名单及相关资料给采购单位。经采购单位审核及面试同意后，方可安排上岗。中标供应商需确保在合同签订之日起30天内，外籍教师到岗率达50%以上。</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中标供应商负责办理齐全符合国家、省、市外国专家局、外事办和出入境管理部门等各级主管部门所规定的关于外籍教师的所有合法手续和有效证件。外籍教师需持来华工作签证(Z签证)上岗，按照国家、省、市外国专家局、外事办和出入境管理部门等各级主管部门的规定在入境一个月内办理好外国人工作许可证和外国人居留许可。外籍教师的合法证件的复印件（工作签证、外国人工作许可证、外国人居留许可、护照、学历等证件）须提交采购单位存档及备查。外籍教师的管理工作参照《宝安区教育系统外籍教师管理办法（试行）》相关要求执行。</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中标供应商须安排符合前述要求的外籍教师按时到学校报到，未按时报到的外籍教师的相关费用按支付该外籍教师费用的日均扣除（扣除标准按照采购单位支付给中标供应商的类别分类核算，且以一年365天计算。下同）。中标供应商如无法按时提供外籍教师，日均扣除期限从该学年开学之日起计算。</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中标供应商负责外籍教师上岗前5-10天的培训工作，举办法律、法规和国情、市情教育讲座；负责对每名外籍教师定期举行继续教育或教研活动；所有培训项目均需在开学前一周提交计划与方案，方案需包含培训师、培训主题、培训时间及培训地点，并将所有培训情况形成书面资料向采购单位报备。</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外籍教师在正常教学过程中因疾病、意外等产生的医疗、陪护等问题，须全部由中标供应商按照相关法律法规负责，并办理相关手续。因意外、工伤、怀孕等不能胜任教学工作的，由中标供应商负责更换外籍教师执行剩余教学工作。外籍教师享受中国《劳动法》同等待遇，由中标供应商负责全面处理，与采购单位无关。</w:t>
      </w:r>
    </w:p>
    <w:p>
      <w:pPr>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若中标供应商提出更换外籍教师，中标供应商必须书面通知采购单位，并取得采购单位的书面同意。若中标供应商未获得采购单位同意擅自更换外籍教师，可视为中标供应商无效服务，按支付该外籍教师费用的日均扣除，日均扣除期限从擅自更换外籍教师的第一天起算。</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4.后续服务要求</w:t>
      </w:r>
      <w:r>
        <w:rPr>
          <w:rFonts w:hint="eastAsia" w:ascii="仿宋_GB2312" w:hAnsi="仿宋_GB2312" w:eastAsia="仿宋_GB2312" w:cs="仿宋_GB2312"/>
          <w:sz w:val="28"/>
          <w:szCs w:val="28"/>
        </w:rPr>
        <w:t>：</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（1）服务期满后外籍教师撤出后教学内容交接工作；</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（2）整体工作材料整理总结；</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（3）与后续服务公司有序交接。</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5.考核办法/验收方式</w:t>
      </w:r>
      <w:r>
        <w:rPr>
          <w:rFonts w:hint="eastAsia" w:ascii="仿宋_GB2312" w:hAnsi="仿宋_GB2312" w:eastAsia="仿宋_GB2312" w:cs="仿宋_GB2312"/>
          <w:sz w:val="28"/>
          <w:szCs w:val="28"/>
        </w:rPr>
        <w:t>：</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采购招标方有权对中标供应商的服务质量进行监督，对中标供应商所提供的外教以及相应的服务进行验收，如与招标书要求和中标承诺不符，采购方有权提出限期整改意见，并扣罚相关费用，如不按期整改，采购方有权终止合同。因法律、政策变动（包括教育局上级、主管部门行政性命令、教育经费被缩减等）导致合同无法继续履行的，双方均不承担违约责任，采购单位按已经发生的教学期间产生费用支付相应款项。</w:t>
      </w:r>
    </w:p>
    <w:p>
      <w:pPr>
        <w:tabs>
          <w:tab w:val="left" w:pos="420"/>
          <w:tab w:val="left" w:pos="540"/>
        </w:tabs>
        <w:spacing w:line="5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6.报价要求：</w:t>
      </w:r>
    </w:p>
    <w:p>
      <w:pPr>
        <w:tabs>
          <w:tab w:val="left" w:pos="420"/>
          <w:tab w:val="left" w:pos="540"/>
        </w:tabs>
        <w:spacing w:line="52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zh-CN"/>
        </w:rPr>
        <w:t>）本项目最高限价为人民币</w:t>
      </w:r>
      <w:r>
        <w:rPr>
          <w:rFonts w:hint="eastAsia" w:ascii="仿宋_GB2312" w:hAnsi="仿宋_GB2312" w:eastAsia="仿宋_GB2312" w:cs="仿宋_GB2312"/>
          <w:color w:val="000000"/>
          <w:sz w:val="28"/>
          <w:szCs w:val="28"/>
        </w:rPr>
        <w:t>贰</w:t>
      </w:r>
      <w:r>
        <w:rPr>
          <w:rFonts w:hint="eastAsia" w:ascii="仿宋_GB2312" w:hAnsi="仿宋_GB2312" w:eastAsia="仿宋_GB2312" w:cs="仿宋_GB2312"/>
          <w:color w:val="000000"/>
          <w:sz w:val="28"/>
          <w:szCs w:val="28"/>
          <w:lang w:val="zh-CN"/>
        </w:rPr>
        <w:t>拾</w:t>
      </w:r>
      <w:r>
        <w:rPr>
          <w:rFonts w:hint="eastAsia" w:ascii="仿宋_GB2312" w:hAnsi="仿宋_GB2312" w:eastAsia="仿宋_GB2312" w:cs="仿宋_GB2312"/>
          <w:color w:val="000000"/>
          <w:sz w:val="28"/>
          <w:szCs w:val="28"/>
        </w:rPr>
        <w:t>捌</w:t>
      </w:r>
      <w:r>
        <w:rPr>
          <w:rFonts w:hint="eastAsia" w:ascii="仿宋_GB2312" w:hAnsi="仿宋_GB2312" w:eastAsia="仿宋_GB2312" w:cs="仿宋_GB2312"/>
          <w:color w:val="000000"/>
          <w:sz w:val="28"/>
          <w:szCs w:val="28"/>
          <w:lang w:val="zh-CN"/>
        </w:rPr>
        <w:t>万元整（￥</w:t>
      </w:r>
      <w:r>
        <w:rPr>
          <w:rFonts w:hint="eastAsia" w:ascii="仿宋_GB2312" w:hAnsi="仿宋_GB2312" w:eastAsia="仿宋_GB2312" w:cs="仿宋_GB2312"/>
          <w:color w:val="000000"/>
          <w:sz w:val="28"/>
          <w:szCs w:val="28"/>
        </w:rPr>
        <w:t>28</w:t>
      </w:r>
      <w:r>
        <w:rPr>
          <w:rFonts w:hint="eastAsia" w:ascii="仿宋_GB2312" w:hAnsi="仿宋_GB2312" w:eastAsia="仿宋_GB2312" w:cs="仿宋_GB2312"/>
          <w:color w:val="000000"/>
          <w:sz w:val="28"/>
          <w:szCs w:val="28"/>
          <w:lang w:val="zh-CN"/>
        </w:rPr>
        <w:t>0,000.00），超</w:t>
      </w:r>
      <w:r>
        <w:rPr>
          <w:rFonts w:hint="eastAsia" w:ascii="仿宋_GB2312" w:hAnsi="仿宋_GB2312" w:eastAsia="仿宋_GB2312" w:cs="仿宋_GB2312"/>
          <w:sz w:val="28"/>
          <w:szCs w:val="28"/>
          <w:lang w:val="zh-CN"/>
        </w:rPr>
        <w:t>出限价的报价作无效处理。</w:t>
      </w:r>
    </w:p>
    <w:p>
      <w:pPr>
        <w:tabs>
          <w:tab w:val="left" w:pos="420"/>
          <w:tab w:val="left" w:pos="540"/>
        </w:tabs>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zh-CN"/>
        </w:rPr>
        <w:t>）成交价格是完成该项目的一切费用总和，包括服务人员的工资、医疗保险、社会保险、假期等和依法缴交各种税费。</w:t>
      </w:r>
    </w:p>
    <w:p>
      <w:pPr>
        <w:spacing w:line="52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7.付款方式：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（1）第一期在合同签订之日起30天内，在提供课程服务的外籍教师足量到位的前提下，由学校支付合同总价的25%。</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（2）第二期在2024年第二季度内支付，由学校支付合同总价25%。</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（3）第三期在2024-2025学年秋季学期开学后30天内，在提供课程服务的外籍教师足量到位的前提下，由学校支付合同总价的25%。</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（4）第四期在2024年第四季度内支付，由学校结算项目余款。</w:t>
      </w:r>
    </w:p>
    <w:p>
      <w:pPr>
        <w:spacing w:line="520"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8.其他需说明的事项</w:t>
      </w:r>
    </w:p>
    <w:p>
      <w:pPr>
        <w:tabs>
          <w:tab w:val="left" w:pos="420"/>
          <w:tab w:val="left" w:pos="540"/>
        </w:tabs>
        <w:spacing w:line="520" w:lineRule="exact"/>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zh-CN"/>
        </w:rPr>
        <w:t>）成交供应商应及时安排好服务人员的工作，合同签订之日起2个</w:t>
      </w:r>
      <w:r>
        <w:rPr>
          <w:rFonts w:hint="eastAsia" w:ascii="仿宋_GB2312" w:hAnsi="仿宋_GB2312" w:eastAsia="仿宋_GB2312" w:cs="仿宋_GB2312"/>
          <w:color w:val="000000"/>
          <w:sz w:val="28"/>
          <w:szCs w:val="28"/>
        </w:rPr>
        <w:t>工作</w:t>
      </w:r>
      <w:r>
        <w:rPr>
          <w:rFonts w:hint="eastAsia" w:ascii="仿宋_GB2312" w:hAnsi="仿宋_GB2312" w:eastAsia="仿宋_GB2312" w:cs="仿宋_GB2312"/>
          <w:color w:val="000000"/>
          <w:sz w:val="28"/>
          <w:szCs w:val="28"/>
          <w:lang w:val="zh-CN"/>
        </w:rPr>
        <w:t>日内保证安排相关人员到采购单位，如有不合格的人员要及时更换，以确保所有服务人员按时到岗开展服务工作。</w:t>
      </w:r>
    </w:p>
    <w:p>
      <w:pPr>
        <w:tabs>
          <w:tab w:val="left" w:pos="420"/>
          <w:tab w:val="left" w:pos="540"/>
        </w:tabs>
        <w:spacing w:line="520" w:lineRule="exact"/>
        <w:ind w:firstLine="560" w:firstLineChars="200"/>
        <w:rPr>
          <w:rFonts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w:t>
      </w: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val="zh-CN"/>
        </w:rPr>
        <w:t>）成交公司</w:t>
      </w:r>
      <w:r>
        <w:rPr>
          <w:rFonts w:hint="eastAsia" w:ascii="仿宋_GB2312" w:hAnsi="仿宋_GB2312" w:eastAsia="仿宋_GB2312" w:cs="仿宋_GB2312"/>
          <w:color w:val="000000"/>
          <w:sz w:val="28"/>
          <w:szCs w:val="28"/>
        </w:rPr>
        <w:t>拟排人员</w:t>
      </w:r>
      <w:r>
        <w:rPr>
          <w:rFonts w:hint="eastAsia" w:ascii="仿宋_GB2312" w:hAnsi="仿宋_GB2312" w:eastAsia="仿宋_GB2312" w:cs="仿宋_GB2312"/>
          <w:color w:val="000000"/>
          <w:sz w:val="28"/>
          <w:szCs w:val="28"/>
          <w:lang w:val="zh-CN"/>
        </w:rPr>
        <w:t>必须符合用人单位需求，</w:t>
      </w:r>
      <w:r>
        <w:rPr>
          <w:rFonts w:hint="eastAsia" w:ascii="仿宋_GB2312" w:hAnsi="仿宋_GB2312" w:eastAsia="仿宋_GB2312" w:cs="仿宋_GB2312"/>
          <w:color w:val="000000"/>
          <w:sz w:val="28"/>
          <w:szCs w:val="28"/>
        </w:rPr>
        <w:t>拟排人员完全</w:t>
      </w:r>
      <w:r>
        <w:rPr>
          <w:rFonts w:hint="eastAsia" w:ascii="仿宋_GB2312" w:hAnsi="仿宋_GB2312" w:eastAsia="仿宋_GB2312" w:cs="仿宋_GB2312"/>
          <w:color w:val="000000"/>
          <w:sz w:val="28"/>
          <w:szCs w:val="28"/>
          <w:lang w:val="zh-CN"/>
        </w:rPr>
        <w:t>遵守用人单位的教学管理规定，接受学校的工作安排、业务评估。</w:t>
      </w:r>
    </w:p>
    <w:p>
      <w:pPr>
        <w:tabs>
          <w:tab w:val="left" w:pos="420"/>
          <w:tab w:val="left" w:pos="540"/>
        </w:tabs>
        <w:spacing w:line="360" w:lineRule="auto"/>
        <w:ind w:firstLine="420" w:firstLineChars="200"/>
        <w:rPr>
          <w:rFonts w:ascii="宋体" w:hAnsi="宋体" w:eastAsia="宋体" w:cs="宋体"/>
          <w:color w:val="000000"/>
          <w:szCs w:val="21"/>
          <w:lang w:val="zh-CN"/>
        </w:rPr>
      </w:pPr>
    </w:p>
    <w:p>
      <w:pPr>
        <w:pStyle w:val="10"/>
        <w:rPr>
          <w:b/>
          <w:color w:val="FF0000"/>
        </w:rPr>
      </w:pPr>
    </w:p>
    <w:p>
      <w:pPr>
        <w:pStyle w:val="10"/>
        <w:rPr>
          <w:b/>
          <w:color w:val="FF0000"/>
        </w:rPr>
      </w:pPr>
    </w:p>
    <w:p>
      <w:pPr>
        <w:pStyle w:val="10"/>
        <w:rPr>
          <w:b/>
          <w:color w:val="FF0000"/>
        </w:rPr>
      </w:pPr>
    </w:p>
    <w:p>
      <w:pPr>
        <w:pStyle w:val="10"/>
        <w:rPr>
          <w:b/>
          <w:color w:val="FF0000"/>
        </w:rPr>
      </w:pPr>
    </w:p>
    <w:p>
      <w:pPr>
        <w:jc w:val="center"/>
        <w:outlineLvl w:val="2"/>
        <w:rPr>
          <w:b/>
          <w:sz w:val="32"/>
          <w:szCs w:val="32"/>
        </w:rPr>
      </w:pPr>
      <w:r>
        <w:rPr>
          <w:rFonts w:hint="eastAsia"/>
          <w:b/>
          <w:sz w:val="32"/>
          <w:szCs w:val="32"/>
        </w:rPr>
        <w:t>五、其他重要条款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6"/>
        <w:spacing w:beforeLines="25"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20" w:firstLineChars="200"/>
        <w:rPr>
          <w:bCs/>
          <w:szCs w:val="21"/>
        </w:rPr>
      </w:pPr>
      <w:r>
        <w:rPr>
          <w:bCs/>
          <w:szCs w:val="21"/>
        </w:rPr>
        <w:t>6</w:t>
      </w:r>
      <w:r>
        <w:rPr>
          <w:rFonts w:hint="eastAsia"/>
          <w:bCs/>
          <w:szCs w:val="21"/>
        </w:rPr>
        <w:t>、“信用中国”</w:t>
      </w:r>
      <w:r>
        <w:rPr>
          <w:rFonts w:ascii="宋体" w:hAnsi="宋体" w:eastAsia="宋体" w:cs="宋体"/>
          <w:szCs w:val="21"/>
        </w:rPr>
        <w:t>中“信用服务”栏的“</w:t>
      </w:r>
      <w:r>
        <w:rPr>
          <w:rFonts w:hint="eastAsia" w:ascii="宋体" w:hAnsi="宋体" w:eastAsia="宋体" w:cs="宋体"/>
          <w:szCs w:val="21"/>
        </w:rPr>
        <w:t>重大税收违法失信主体</w:t>
      </w:r>
      <w:r>
        <w:rPr>
          <w:rFonts w:ascii="宋体" w:hAnsi="宋体" w:eastAsia="宋体" w:cs="宋体"/>
          <w:szCs w:val="21"/>
        </w:rPr>
        <w:t>”“失信被执行人”</w:t>
      </w:r>
      <w:r>
        <w:rPr>
          <w:rFonts w:hint="eastAsia" w:ascii="宋体" w:hAnsi="宋体" w:cs="宋体"/>
          <w:kern w:val="0"/>
          <w:szCs w:val="21"/>
        </w:rPr>
        <w:t>，</w:t>
      </w:r>
      <w:r>
        <w:rPr>
          <w:rFonts w:hint="eastAsia"/>
          <w:bCs/>
          <w:szCs w:val="21"/>
        </w:rPr>
        <w:t>“中国政府采购网”</w:t>
      </w:r>
      <w:r>
        <w:rPr>
          <w:rFonts w:ascii="宋体" w:hAnsi="宋体" w:eastAsia="宋体" w:cs="宋体"/>
          <w:szCs w:val="21"/>
        </w:rPr>
        <w:t>中的“政府采购严重违法失信行为记录名单”</w:t>
      </w:r>
      <w:r>
        <w:rPr>
          <w:rFonts w:hint="eastAsia" w:ascii="宋体" w:hAnsi="宋体" w:cs="宋体"/>
          <w:kern w:val="0"/>
          <w:szCs w:val="21"/>
        </w:rPr>
        <w:t>，</w:t>
      </w:r>
      <w:r>
        <w:rPr>
          <w:rFonts w:hint="eastAsia"/>
          <w:bCs/>
          <w:szCs w:val="21"/>
        </w:rPr>
        <w:t>“深圳信用网”以及“深圳市政府采购监管网”为供应商信用信息的查询渠道，相关信息以开标当日的查询结果为准。</w:t>
      </w:r>
    </w:p>
    <w:p>
      <w:pPr>
        <w:pStyle w:val="9"/>
        <w:rPr>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pStyle w:val="10"/>
        <w:rPr>
          <w:bCs/>
          <w:szCs w:val="21"/>
        </w:rPr>
      </w:pPr>
    </w:p>
    <w:p>
      <w:pPr>
        <w:widowControl/>
        <w:jc w:val="left"/>
        <w:rPr>
          <w:rFonts w:ascii="宋体" w:hAnsi="宋体" w:eastAsia="黑体" w:cs="Times New Roman"/>
          <w:bCs/>
          <w:kern w:val="44"/>
          <w:sz w:val="28"/>
          <w:szCs w:val="44"/>
        </w:rPr>
      </w:pPr>
    </w:p>
    <w:p>
      <w:pPr>
        <w:keepNext/>
        <w:keepLines/>
        <w:adjustRightInd w:val="0"/>
        <w:spacing w:line="320" w:lineRule="atLeast"/>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 投标文件组成要求及格式</w:t>
      </w:r>
    </w:p>
    <w:p>
      <w:pPr>
        <w:spacing w:line="320" w:lineRule="atLeast"/>
        <w:outlineLvl w:val="2"/>
        <w:rPr>
          <w:rFonts w:ascii="宋体" w:hAnsi="宋体" w:eastAsia="宋体" w:cs="宋体"/>
          <w:b/>
          <w:bCs/>
          <w:color w:val="FF0000"/>
          <w:sz w:val="24"/>
          <w:szCs w:val="24"/>
        </w:rPr>
      </w:pPr>
      <w:r>
        <w:rPr>
          <w:rFonts w:hint="eastAsia" w:ascii="宋体" w:hAnsi="宋体" w:eastAsia="宋体" w:cs="宋体"/>
          <w:b/>
          <w:bCs/>
          <w:color w:val="FF0000"/>
          <w:sz w:val="24"/>
          <w:szCs w:val="24"/>
        </w:rPr>
        <w:t>特别提醒：</w:t>
      </w:r>
    </w:p>
    <w:p>
      <w:pPr>
        <w:tabs>
          <w:tab w:val="left" w:pos="1470"/>
        </w:tabs>
        <w:snapToGrid w:val="0"/>
        <w:spacing w:line="320" w:lineRule="atLeast"/>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tabs>
          <w:tab w:val="left" w:pos="1470"/>
        </w:tabs>
        <w:snapToGrid w:val="0"/>
        <w:spacing w:line="320" w:lineRule="atLeast"/>
        <w:ind w:firstLine="482" w:firstLineChars="200"/>
        <w:rPr>
          <w:rFonts w:ascii="宋体" w:hAnsi="宋体" w:eastAsia="宋体" w:cs="宋体"/>
          <w:b/>
          <w:bCs/>
          <w:color w:val="FF0000"/>
          <w:sz w:val="24"/>
          <w:szCs w:val="24"/>
        </w:rPr>
      </w:pPr>
      <w:r>
        <w:rPr>
          <w:rFonts w:hint="eastAsia" w:ascii="宋体" w:hAnsi="宋体" w:eastAsia="宋体" w:cs="宋体"/>
          <w:b/>
          <w:color w:val="FF0000"/>
          <w:sz w:val="24"/>
          <w:szCs w:val="24"/>
        </w:rPr>
        <w:t>2、投标文件正文（信息公开部分）必须编制于“正文（公开部分）”部分，投标文件附件（非信息公开部分）必须编制于“附件（不公开部分）”部分。</w:t>
      </w:r>
    </w:p>
    <w:p>
      <w:pPr>
        <w:tabs>
          <w:tab w:val="left" w:pos="1470"/>
        </w:tabs>
        <w:snapToGrid w:val="0"/>
        <w:spacing w:line="320" w:lineRule="atLeast"/>
        <w:rPr>
          <w:rFonts w:ascii="宋体" w:hAnsi="宋体" w:eastAsia="宋体" w:cs="宋体"/>
          <w:b/>
          <w:color w:val="FF0000"/>
          <w:sz w:val="24"/>
          <w:szCs w:val="24"/>
        </w:rPr>
      </w:pPr>
      <w:bookmarkStart w:id="17" w:name="_Hlk72257167"/>
      <w:r>
        <w:rPr>
          <w:rFonts w:hint="eastAsia" w:ascii="宋体" w:hAnsi="宋体" w:eastAsia="宋体" w:cs="宋体"/>
          <w:b/>
          <w:color w:val="FF0000"/>
          <w:sz w:val="24"/>
          <w:szCs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pStyle w:val="9"/>
      </w:pPr>
    </w:p>
    <w:bookmarkEnd w:id="17"/>
    <w:p>
      <w:pPr>
        <w:widowControl/>
        <w:spacing w:line="320" w:lineRule="atLeast"/>
        <w:jc w:val="left"/>
        <w:outlineLvl w:val="2"/>
        <w:rPr>
          <w:rFonts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snapToGrid w:val="0"/>
        <w:spacing w:line="320" w:lineRule="atLeast"/>
        <w:rPr>
          <w:rFonts w:ascii="Arial" w:hAnsi="Arial" w:eastAsia="宋体" w:cs="Arial"/>
          <w:b/>
          <w:color w:val="FF0000"/>
          <w:sz w:val="24"/>
          <w:szCs w:val="24"/>
        </w:rPr>
      </w:pPr>
      <w:r>
        <w:rPr>
          <w:rFonts w:hint="eastAsia" w:ascii="宋体" w:hAnsi="宋体" w:eastAsia="宋体" w:cs="宋体"/>
          <w:b/>
          <w:color w:val="FF0000"/>
          <w:kern w:val="0"/>
          <w:sz w:val="24"/>
          <w:szCs w:val="24"/>
        </w:rPr>
        <w:t>投标文件正文（信息公开部分）：</w:t>
      </w:r>
    </w:p>
    <w:p>
      <w:pPr>
        <w:numPr>
          <w:ilvl w:val="0"/>
          <w:numId w:val="1"/>
        </w:numPr>
        <w:snapToGrid w:val="0"/>
        <w:spacing w:line="320" w:lineRule="atLeast"/>
        <w:jc w:val="left"/>
        <w:rPr>
          <w:rFonts w:ascii="宋体" w:hAnsi="宋体" w:eastAsia="宋体" w:cs="Times New Roman"/>
          <w:sz w:val="24"/>
          <w:szCs w:val="24"/>
        </w:rPr>
      </w:pPr>
      <w:r>
        <w:rPr>
          <w:rFonts w:hint="eastAsia" w:ascii="宋体" w:hAnsi="宋体" w:eastAsia="宋体" w:cs="Times New Roman"/>
          <w:sz w:val="24"/>
          <w:szCs w:val="24"/>
        </w:rPr>
        <w:t>投标函；</w:t>
      </w:r>
    </w:p>
    <w:p>
      <w:pPr>
        <w:numPr>
          <w:ilvl w:val="0"/>
          <w:numId w:val="1"/>
        </w:numPr>
        <w:snapToGrid w:val="0"/>
        <w:spacing w:line="320" w:lineRule="atLeast"/>
        <w:jc w:val="left"/>
        <w:rPr>
          <w:rFonts w:ascii="宋体" w:hAnsi="宋体" w:eastAsia="宋体" w:cs="Times New Roman"/>
          <w:sz w:val="24"/>
          <w:szCs w:val="24"/>
          <w:highlight w:val="none"/>
        </w:rPr>
      </w:pPr>
      <w:bookmarkStart w:id="18" w:name="_Hlk72062521"/>
      <w:r>
        <w:rPr>
          <w:rFonts w:hint="eastAsia" w:ascii="宋体" w:hAnsi="宋体" w:eastAsia="宋体" w:cs="Times New Roman"/>
          <w:sz w:val="24"/>
          <w:szCs w:val="24"/>
          <w:highlight w:val="none"/>
        </w:rPr>
        <w:t>政府采购投标及履约承诺函</w:t>
      </w:r>
      <w:bookmarkEnd w:id="18"/>
      <w:r>
        <w:rPr>
          <w:rFonts w:hint="eastAsia" w:ascii="宋体" w:hAnsi="宋体" w:eastAsia="宋体" w:cs="Times New Roman"/>
          <w:sz w:val="24"/>
          <w:szCs w:val="24"/>
          <w:highlight w:val="none"/>
        </w:rPr>
        <w:t>；</w:t>
      </w:r>
    </w:p>
    <w:p>
      <w:pPr>
        <w:numPr>
          <w:ilvl w:val="0"/>
          <w:numId w:val="1"/>
        </w:numPr>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营业执照或事业单位法人证书等；</w:t>
      </w:r>
    </w:p>
    <w:p>
      <w:pPr>
        <w:numPr>
          <w:ilvl w:val="0"/>
          <w:numId w:val="1"/>
        </w:numPr>
        <w:snapToGrid w:val="0"/>
        <w:spacing w:line="320" w:lineRule="atLeast"/>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中小企业相关声明函（如有）；</w:t>
      </w:r>
    </w:p>
    <w:p>
      <w:pPr>
        <w:numPr>
          <w:ilvl w:val="0"/>
          <w:numId w:val="1"/>
        </w:numPr>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bCs/>
          <w:sz w:val="24"/>
          <w:szCs w:val="24"/>
          <w:highlight w:val="none"/>
        </w:rPr>
        <w:t>分项报价清单；</w:t>
      </w:r>
    </w:p>
    <w:p>
      <w:pPr>
        <w:numPr>
          <w:ilvl w:val="0"/>
          <w:numId w:val="1"/>
        </w:numPr>
        <w:snapToGrid w:val="0"/>
        <w:spacing w:line="320" w:lineRule="atLeast"/>
        <w:ind w:left="1456"/>
        <w:rPr>
          <w:rFonts w:ascii="宋体" w:hAnsi="宋体" w:eastAsia="宋体" w:cs="Times New Roman"/>
          <w:sz w:val="24"/>
          <w:szCs w:val="24"/>
          <w:highlight w:val="none"/>
        </w:rPr>
      </w:pPr>
      <w:r>
        <w:rPr>
          <w:rFonts w:hint="eastAsia" w:ascii="宋体" w:hAnsi="宋体" w:eastAsia="宋体" w:cs="Times New Roman"/>
          <w:sz w:val="24"/>
          <w:szCs w:val="24"/>
          <w:highlight w:val="none"/>
        </w:rPr>
        <w:t>同类业绩情况；</w:t>
      </w:r>
    </w:p>
    <w:p>
      <w:pPr>
        <w:numPr>
          <w:ilvl w:val="0"/>
          <w:numId w:val="1"/>
        </w:numPr>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rPr>
        <w:t>投标人实力；</w:t>
      </w:r>
    </w:p>
    <w:p>
      <w:pPr>
        <w:numPr>
          <w:ilvl w:val="0"/>
          <w:numId w:val="1"/>
        </w:numPr>
        <w:snapToGrid w:val="0"/>
        <w:spacing w:line="320" w:lineRule="atLeast"/>
        <w:ind w:left="1456"/>
        <w:rPr>
          <w:rFonts w:ascii="宋体" w:hAnsi="宋体" w:eastAsia="宋体" w:cs="Times New Roman"/>
          <w:sz w:val="24"/>
          <w:szCs w:val="24"/>
        </w:rPr>
      </w:pPr>
      <w:r>
        <w:rPr>
          <w:rFonts w:hint="eastAsia" w:ascii="宋体" w:hAnsi="宋体" w:eastAsia="宋体" w:cs="Times New Roman"/>
          <w:sz w:val="24"/>
          <w:szCs w:val="24"/>
        </w:rPr>
        <w:t>其他招标文件要求或投标</w:t>
      </w:r>
      <w:bookmarkStart w:id="81" w:name="_GoBack"/>
      <w:bookmarkEnd w:id="81"/>
      <w:r>
        <w:rPr>
          <w:rFonts w:hint="eastAsia" w:ascii="宋体" w:hAnsi="宋体" w:eastAsia="宋体" w:cs="Times New Roman"/>
          <w:sz w:val="24"/>
          <w:szCs w:val="24"/>
        </w:rPr>
        <w:t>人认为需要补充的内容（公开）。</w:t>
      </w:r>
    </w:p>
    <w:p>
      <w:pPr>
        <w:snapToGrid w:val="0"/>
        <w:spacing w:line="320" w:lineRule="atLeast"/>
        <w:jc w:val="left"/>
        <w:rPr>
          <w:rFonts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法定代表人（负责人）证明书</w:t>
      </w:r>
      <w:r>
        <w:rPr>
          <w:rFonts w:hint="eastAsia" w:ascii="Arial" w:hAnsi="Arial" w:eastAsia="宋体" w:cs="Arial"/>
          <w:sz w:val="24"/>
          <w:szCs w:val="24"/>
        </w:rPr>
        <w:t>；</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投标文件签署授权委托书；</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实质性条款响应情况表；</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项目整体设想及规划方案;</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项目重点难点分析、应对措施及相关的合理化建议;</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后勤保障服务方案;</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bCs/>
          <w:sz w:val="24"/>
          <w:szCs w:val="24"/>
        </w:rPr>
        <w:t>项目负责人（仅限1人）情况；</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项目团队拟派中方服务人员（不含项目负责人）；</w:t>
      </w:r>
    </w:p>
    <w:p>
      <w:pPr>
        <w:numPr>
          <w:ilvl w:val="0"/>
          <w:numId w:val="2"/>
        </w:numPr>
        <w:snapToGrid w:val="0"/>
        <w:spacing w:line="320" w:lineRule="atLeast"/>
        <w:rPr>
          <w:rFonts w:ascii="宋体" w:hAnsi="宋体" w:eastAsia="宋体" w:cs="Times New Roman"/>
          <w:sz w:val="24"/>
          <w:szCs w:val="24"/>
        </w:rPr>
      </w:pPr>
      <w:r>
        <w:rPr>
          <w:rFonts w:hint="eastAsia" w:ascii="宋体" w:hAnsi="宋体" w:eastAsia="宋体" w:cs="Times New Roman"/>
          <w:sz w:val="24"/>
          <w:szCs w:val="24"/>
        </w:rPr>
        <w:t>其他招标文件要求或投标人认为需要补充的内容（非公开）。</w:t>
      </w:r>
    </w:p>
    <w:p>
      <w:pPr>
        <w:spacing w:line="320" w:lineRule="atLeast"/>
        <w:rPr>
          <w:rFonts w:ascii="宋体" w:hAnsi="宋体"/>
          <w:b/>
          <w:sz w:val="24"/>
          <w:szCs w:val="24"/>
        </w:rPr>
      </w:pPr>
      <w:bookmarkStart w:id="19" w:name="_Hlk72257771"/>
      <w:r>
        <w:rPr>
          <w:rFonts w:hint="eastAsia" w:ascii="宋体" w:hAnsi="宋体"/>
          <w:b/>
          <w:sz w:val="24"/>
          <w:szCs w:val="24"/>
        </w:rPr>
        <w:t>备注：</w:t>
      </w:r>
    </w:p>
    <w:p>
      <w:pPr>
        <w:snapToGrid w:val="0"/>
        <w:spacing w:line="320" w:lineRule="atLeast"/>
        <w:ind w:firstLine="482" w:firstLineChars="200"/>
        <w:rPr>
          <w:rFonts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1.本项目为网上电子投标项目，投标文件不需法人或授权委托人另行签字，无需加盖单位公章，招标文件专用条款另有规定的除外。</w:t>
      </w:r>
    </w:p>
    <w:p>
      <w:pPr>
        <w:snapToGrid w:val="0"/>
        <w:spacing w:line="320" w:lineRule="atLeast"/>
        <w:ind w:firstLine="482" w:firstLineChars="200"/>
        <w:rPr>
          <w:rFonts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9"/>
      <w:bookmarkEnd w:id="20"/>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pPr>
        <w:snapToGrid w:val="0"/>
        <w:spacing w:line="360" w:lineRule="auto"/>
        <w:rPr>
          <w:rFonts w:ascii="Arial" w:hAnsi="Arial" w:eastAsia="宋体" w:cs="Times New Roman"/>
          <w:szCs w:val="24"/>
        </w:rPr>
      </w:pPr>
    </w:p>
    <w:p>
      <w:pPr>
        <w:snapToGrid w:val="0"/>
        <w:spacing w:line="360" w:lineRule="auto"/>
        <w:rPr>
          <w:rFonts w:ascii="Arial" w:hAnsi="Arial" w:eastAsia="宋体" w:cs="Arial"/>
          <w:szCs w:val="21"/>
          <w:u w:val="single"/>
        </w:rPr>
      </w:pPr>
      <w:r>
        <w:rPr>
          <w:rFonts w:ascii="Arial" w:hAnsi="Arial" w:eastAsia="宋体" w:cs="Arial"/>
          <w:szCs w:val="21"/>
        </w:rPr>
        <w:t>致：</w:t>
      </w:r>
      <w:r>
        <w:rPr>
          <w:rFonts w:hint="eastAsia" w:ascii="Arial" w:hAnsi="Arial" w:eastAsia="宋体" w:cs="Arial"/>
          <w:szCs w:val="21"/>
          <w:u w:val="single"/>
        </w:rPr>
        <w:t>深圳公共资源交易中心</w:t>
      </w:r>
    </w:p>
    <w:p>
      <w:pPr>
        <w:snapToGrid w:val="0"/>
        <w:spacing w:line="360" w:lineRule="auto"/>
        <w:rPr>
          <w:rFonts w:ascii="Arial" w:hAnsi="Arial" w:eastAsia="宋体" w:cs="Arial"/>
          <w:szCs w:val="21"/>
        </w:rPr>
      </w:pPr>
      <w:bookmarkStart w:id="21" w:name="_Hlk73818812"/>
      <w:r>
        <w:rPr>
          <w:rFonts w:hint="eastAsia" w:ascii="Arial" w:hAnsi="Arial" w:eastAsia="宋体" w:cs="Arial"/>
          <w:szCs w:val="21"/>
        </w:rPr>
        <w:t>1、根据已收到贵单位的项目编号为</w:t>
      </w:r>
      <w:r>
        <w:rPr>
          <w:rFonts w:hint="eastAsia" w:ascii="Arial" w:hAnsi="Arial" w:eastAsia="宋体" w:cs="Arial"/>
          <w:szCs w:val="21"/>
          <w:u w:val="single"/>
        </w:rPr>
        <w:t xml:space="preserve"> </w:t>
      </w:r>
      <w:r>
        <w:rPr>
          <w:rFonts w:ascii="Arial" w:hAnsi="Arial" w:eastAsia="宋体" w:cs="Arial"/>
          <w:szCs w:val="21"/>
          <w:u w:val="single"/>
        </w:rPr>
        <w:t>BAZXCG-2024-00099</w:t>
      </w:r>
      <w:r>
        <w:rPr>
          <w:rFonts w:hint="eastAsia" w:ascii="Arial" w:hAnsi="Arial" w:eastAsia="宋体" w:cs="Arial"/>
          <w:szCs w:val="21"/>
          <w:u w:val="single"/>
        </w:rPr>
        <w:t xml:space="preserve"> </w:t>
      </w:r>
      <w:r>
        <w:rPr>
          <w:rFonts w:hint="eastAsia" w:ascii="Arial" w:hAnsi="Arial" w:eastAsia="宋体" w:cs="Arial"/>
          <w:szCs w:val="21"/>
        </w:rPr>
        <w:t>的</w:t>
      </w:r>
      <w:r>
        <w:rPr>
          <w:rFonts w:hint="eastAsia" w:ascii="Arial" w:hAnsi="Arial" w:eastAsia="宋体" w:cs="Arial"/>
          <w:szCs w:val="21"/>
          <w:u w:val="single"/>
        </w:rPr>
        <w:t xml:space="preserve">  深圳市宝安职业教育集团第二校区2024年引进外籍教师国际课程服务 </w:t>
      </w:r>
      <w:r>
        <w:rPr>
          <w:rFonts w:hint="eastAsia" w:ascii="Arial" w:hAnsi="Arial" w:eastAsia="宋体" w:cs="Arial"/>
          <w:szCs w:val="21"/>
        </w:rPr>
        <w:t>项目的招标文件，遵照《深圳经济特区政府采购条例》和《深圳网上政府采购管理暂行办法》等有关规定，我单位经研究上述招标文件的专用条款及通用条款后，</w:t>
      </w:r>
      <w:bookmarkStart w:id="22" w:name="_Hlk72263588"/>
      <w:r>
        <w:rPr>
          <w:rFonts w:hint="eastAsia" w:ascii="Arial" w:hAnsi="Arial" w:eastAsia="宋体" w:cs="Arial"/>
          <w:szCs w:val="21"/>
        </w:rPr>
        <w:t>愿意按照招标文件要求承包上述项目并修补其任何缺陷。</w:t>
      </w:r>
      <w:bookmarkEnd w:id="22"/>
    </w:p>
    <w:p>
      <w:pPr>
        <w:snapToGrid w:val="0"/>
        <w:spacing w:line="360" w:lineRule="auto"/>
        <w:rPr>
          <w:rFonts w:ascii="Arial" w:hAnsi="Arial" w:eastAsia="宋体" w:cs="Arial"/>
          <w:szCs w:val="21"/>
        </w:rPr>
      </w:pPr>
      <w:r>
        <w:rPr>
          <w:rFonts w:ascii="Arial" w:hAnsi="Arial" w:eastAsia="宋体" w:cs="Arial"/>
          <w:szCs w:val="21"/>
        </w:rPr>
        <w:t>2</w:t>
      </w:r>
      <w:r>
        <w:rPr>
          <w:rFonts w:hint="eastAsia" w:ascii="Arial" w:hAnsi="Arial" w:eastAsia="宋体" w:cs="Arial"/>
          <w:szCs w:val="21"/>
        </w:rPr>
        <w:t>、投标价格见投标书编制软件中《开标一览表》中填写的投标总价。</w:t>
      </w:r>
    </w:p>
    <w:p>
      <w:pPr>
        <w:snapToGrid w:val="0"/>
        <w:spacing w:line="360" w:lineRule="auto"/>
        <w:rPr>
          <w:rFonts w:ascii="Arial" w:hAnsi="Arial" w:eastAsia="宋体" w:cs="Arial"/>
          <w:szCs w:val="21"/>
        </w:rPr>
      </w:pPr>
      <w:r>
        <w:rPr>
          <w:rFonts w:hint="eastAsia" w:ascii="Arial" w:hAnsi="Arial" w:eastAsia="宋体" w:cs="Arial"/>
          <w:szCs w:val="21"/>
        </w:rPr>
        <w:t>3、如果我单位中标，我单位将按照招标文件的要求足额提交履约担保。</w:t>
      </w:r>
    </w:p>
    <w:p>
      <w:pPr>
        <w:snapToGrid w:val="0"/>
        <w:spacing w:line="360" w:lineRule="auto"/>
        <w:rPr>
          <w:rFonts w:ascii="Arial" w:hAnsi="Arial" w:eastAsia="宋体" w:cs="Arial"/>
          <w:szCs w:val="21"/>
        </w:rPr>
      </w:pPr>
      <w:r>
        <w:rPr>
          <w:rFonts w:hint="eastAsia" w:ascii="Arial" w:hAnsi="Arial" w:eastAsia="宋体" w:cs="Arial"/>
          <w:szCs w:val="21"/>
        </w:rPr>
        <w:t>4、我单位同意所递交的投标文件在“对通用条款的补充内容”中明确的投标有效期内有效，在此期间内我单位的投标有可能中标，我方将受此约束。</w:t>
      </w:r>
    </w:p>
    <w:p>
      <w:pPr>
        <w:snapToGrid w:val="0"/>
        <w:spacing w:line="360" w:lineRule="auto"/>
        <w:rPr>
          <w:rFonts w:ascii="Arial" w:hAnsi="Arial" w:eastAsia="宋体" w:cs="Arial"/>
          <w:szCs w:val="21"/>
        </w:rPr>
      </w:pPr>
      <w:r>
        <w:rPr>
          <w:rFonts w:hint="eastAsia" w:ascii="Arial" w:hAnsi="Arial" w:eastAsia="宋体" w:cs="Arial"/>
          <w:szCs w:val="21"/>
        </w:rPr>
        <w:t>5、除非另外达成协议并生效，贵单位的中标通知书和本投标文件将构成合同的重要内容。</w:t>
      </w:r>
    </w:p>
    <w:p>
      <w:pPr>
        <w:snapToGrid w:val="0"/>
        <w:spacing w:line="360" w:lineRule="auto"/>
        <w:rPr>
          <w:rFonts w:ascii="Arial" w:hAnsi="Arial" w:eastAsia="宋体" w:cs="Arial"/>
          <w:szCs w:val="21"/>
        </w:rPr>
      </w:pPr>
      <w:r>
        <w:rPr>
          <w:rFonts w:hint="eastAsia" w:ascii="Arial" w:hAnsi="Arial" w:eastAsia="宋体" w:cs="Arial"/>
          <w:szCs w:val="21"/>
        </w:rPr>
        <w:t>6、我单位理解贵单位将不受必须接受所收到的最低报价或其它任何投标文件的约束。</w:t>
      </w:r>
      <w:bookmarkEnd w:id="21"/>
    </w:p>
    <w:p>
      <w:pPr>
        <w:snapToGrid w:val="0"/>
        <w:spacing w:line="360" w:lineRule="auto"/>
        <w:rPr>
          <w:rFonts w:ascii="Arial" w:hAnsi="Arial" w:eastAsia="宋体" w:cs="Arial"/>
          <w:b/>
          <w:szCs w:val="21"/>
        </w:rPr>
      </w:pPr>
      <w:r>
        <w:rPr>
          <w:rFonts w:hint="eastAsia" w:ascii="Arial" w:hAnsi="Arial" w:eastAsia="宋体" w:cs="Arial"/>
          <w:b/>
          <w:szCs w:val="21"/>
        </w:rPr>
        <w:t>7</w:t>
      </w:r>
      <w:r>
        <w:rPr>
          <w:rFonts w:ascii="Arial" w:hAnsi="Arial" w:eastAsia="宋体" w:cs="Arial"/>
          <w:b/>
          <w:szCs w:val="21"/>
        </w:rPr>
        <w:t>、如我单位提交样品，且未在规定时间内取回样品的，视同放弃取回，同意深圳公共资源交易中心对我单位提交的样品进行清理。</w:t>
      </w:r>
    </w:p>
    <w:p>
      <w:pPr>
        <w:snapToGrid w:val="0"/>
        <w:spacing w:line="360" w:lineRule="auto"/>
        <w:rPr>
          <w:rFonts w:ascii="Arial" w:hAnsi="Arial" w:eastAsia="宋体" w:cs="Arial"/>
          <w:b/>
          <w:szCs w:val="21"/>
        </w:rPr>
      </w:pPr>
    </w:p>
    <w:p>
      <w:pPr>
        <w:snapToGrid w:val="0"/>
        <w:spacing w:line="360" w:lineRule="auto"/>
        <w:rPr>
          <w:rFonts w:ascii="Arial" w:hAnsi="Arial" w:eastAsia="宋体" w:cs="Arial"/>
          <w:szCs w:val="21"/>
          <w:u w:val="single"/>
        </w:rPr>
      </w:pPr>
      <w:r>
        <w:rPr>
          <w:rFonts w:hint="eastAsia" w:ascii="Arial" w:hAnsi="Arial" w:eastAsia="宋体" w:cs="Arial"/>
          <w:szCs w:val="21"/>
        </w:rPr>
        <w:t>投标人：</w:t>
      </w:r>
    </w:p>
    <w:p>
      <w:pPr>
        <w:snapToGrid w:val="0"/>
        <w:spacing w:line="360" w:lineRule="auto"/>
        <w:rPr>
          <w:rFonts w:ascii="Arial" w:hAnsi="Arial" w:eastAsia="宋体" w:cs="Arial"/>
          <w:szCs w:val="21"/>
          <w:u w:val="single"/>
        </w:rPr>
      </w:pPr>
      <w:r>
        <w:rPr>
          <w:rFonts w:hint="eastAsia" w:ascii="Arial" w:hAnsi="Arial" w:eastAsia="宋体" w:cs="Arial"/>
          <w:szCs w:val="21"/>
        </w:rPr>
        <w:t>单位地址：</w:t>
      </w:r>
    </w:p>
    <w:p>
      <w:pPr>
        <w:snapToGrid w:val="0"/>
        <w:spacing w:line="360" w:lineRule="auto"/>
        <w:rPr>
          <w:rFonts w:ascii="Arial" w:hAnsi="Arial" w:eastAsia="宋体" w:cs="Arial"/>
          <w:szCs w:val="21"/>
          <w:u w:val="single"/>
        </w:rPr>
      </w:pPr>
      <w:r>
        <w:rPr>
          <w:rFonts w:hint="eastAsia" w:ascii="Arial" w:hAnsi="Arial" w:eastAsia="宋体" w:cs="Arial"/>
          <w:szCs w:val="21"/>
        </w:rPr>
        <w:t>法定代表人（负责人）或其授权委托代理人：</w:t>
      </w:r>
    </w:p>
    <w:p>
      <w:pPr>
        <w:pStyle w:val="9"/>
        <w:rPr>
          <w:rFonts w:ascii="Arial" w:hAnsi="Arial" w:eastAsia="宋体" w:cs="Arial"/>
          <w:b w:val="0"/>
          <w:bCs w:val="0"/>
          <w:szCs w:val="21"/>
          <w:u w:val="single"/>
        </w:rPr>
      </w:pPr>
      <w:r>
        <w:rPr>
          <w:rFonts w:hint="eastAsia" w:ascii="Arial" w:hAnsi="Arial" w:eastAsia="宋体" w:cs="Arial"/>
          <w:b w:val="0"/>
          <w:bCs w:val="0"/>
          <w:szCs w:val="21"/>
        </w:rPr>
        <w:t>开户银行名称：</w:t>
      </w:r>
    </w:p>
    <w:p>
      <w:pPr>
        <w:pStyle w:val="10"/>
        <w:rPr>
          <w:u w:val="single"/>
        </w:rPr>
      </w:pPr>
      <w:r>
        <w:rPr>
          <w:rFonts w:hint="eastAsia" w:ascii="Arial" w:hAnsi="Arial" w:eastAsia="宋体" w:cs="Arial"/>
          <w:szCs w:val="21"/>
        </w:rPr>
        <w:t>开户银行账号：</w:t>
      </w:r>
    </w:p>
    <w:p>
      <w:pPr>
        <w:snapToGrid w:val="0"/>
        <w:spacing w:line="360" w:lineRule="auto"/>
        <w:rPr>
          <w:rFonts w:ascii="Arial" w:hAnsi="Arial" w:eastAsia="宋体" w:cs="Arial"/>
          <w:szCs w:val="21"/>
        </w:rPr>
      </w:pPr>
      <w:r>
        <w:rPr>
          <w:rFonts w:hint="eastAsia" w:ascii="Arial" w:hAnsi="Arial" w:eastAsia="宋体" w:cs="Arial"/>
          <w:szCs w:val="21"/>
        </w:rPr>
        <w:t>邮政编码：</w:t>
      </w:r>
    </w:p>
    <w:p>
      <w:pPr>
        <w:snapToGrid w:val="0"/>
        <w:spacing w:line="360" w:lineRule="auto"/>
        <w:rPr>
          <w:rFonts w:ascii="Arial" w:hAnsi="Arial" w:eastAsia="宋体" w:cs="Arial"/>
          <w:szCs w:val="21"/>
        </w:rPr>
      </w:pPr>
      <w:r>
        <w:rPr>
          <w:rFonts w:hint="eastAsia" w:ascii="Arial" w:hAnsi="Arial" w:eastAsia="宋体" w:cs="Arial"/>
          <w:szCs w:val="21"/>
        </w:rPr>
        <w:t>电话：</w:t>
      </w:r>
    </w:p>
    <w:p>
      <w:pPr>
        <w:snapToGrid w:val="0"/>
        <w:spacing w:line="360" w:lineRule="auto"/>
        <w:rPr>
          <w:rFonts w:ascii="Arial" w:hAnsi="Arial" w:eastAsia="宋体" w:cs="Arial"/>
          <w:szCs w:val="21"/>
          <w:u w:val="single"/>
        </w:rPr>
      </w:pPr>
      <w:r>
        <w:rPr>
          <w:rFonts w:hint="eastAsia" w:ascii="Arial" w:hAnsi="Arial" w:eastAsia="宋体" w:cs="Arial"/>
          <w:szCs w:val="21"/>
        </w:rPr>
        <w:t>传真：</w:t>
      </w:r>
    </w:p>
    <w:p>
      <w:pPr>
        <w:snapToGrid w:val="0"/>
        <w:spacing w:line="360" w:lineRule="auto"/>
        <w:rPr>
          <w:rFonts w:ascii="Arial" w:hAnsi="Arial" w:eastAsia="宋体" w:cs="Arial"/>
          <w:szCs w:val="21"/>
        </w:rPr>
      </w:pPr>
      <w:r>
        <w:rPr>
          <w:rFonts w:hint="eastAsia" w:ascii="Arial" w:hAnsi="Arial" w:eastAsia="宋体" w:cs="Arial"/>
          <w:szCs w:val="21"/>
        </w:rPr>
        <w:t>邮箱：</w:t>
      </w:r>
    </w:p>
    <w:p>
      <w:pPr>
        <w:snapToGrid w:val="0"/>
        <w:spacing w:line="360" w:lineRule="auto"/>
        <w:rPr>
          <w:rFonts w:ascii="Arial" w:hAnsi="Arial" w:eastAsia="宋体" w:cs="Arial"/>
          <w:szCs w:val="21"/>
        </w:rPr>
      </w:pPr>
    </w:p>
    <w:p>
      <w:pPr>
        <w:snapToGrid w:val="0"/>
        <w:spacing w:line="360" w:lineRule="auto"/>
        <w:rPr>
          <w:rFonts w:ascii="Arial" w:hAnsi="Arial" w:eastAsia="宋体" w:cs="Arial"/>
          <w:szCs w:val="21"/>
        </w:rPr>
      </w:pPr>
      <w:r>
        <w:rPr>
          <w:rFonts w:hint="eastAsia" w:ascii="Arial" w:hAnsi="Arial" w:eastAsia="宋体" w:cs="Arial"/>
          <w:szCs w:val="21"/>
        </w:rPr>
        <w:t>日期： 年  月  日</w:t>
      </w:r>
    </w:p>
    <w:p>
      <w:pPr>
        <w:spacing w:afterLines="25" w:line="300" w:lineRule="auto"/>
        <w:ind w:firstLine="420" w:firstLineChars="200"/>
        <w:rPr>
          <w:rFonts w:ascii="Arial" w:hAnsi="Arial" w:eastAsia="宋体" w:cs="Times New Roman"/>
          <w:sz w:val="24"/>
          <w:szCs w:val="24"/>
        </w:rPr>
      </w:pPr>
      <w:r>
        <w:rPr>
          <w:rFonts w:hint="eastAsia" w:ascii="Arial" w:hAnsi="Arial" w:eastAsia="宋体" w:cs="Arial"/>
          <w:szCs w:val="24"/>
        </w:rPr>
        <w:t>备注：为缓解中小企业融资难题，我市推出政府采购订单融资改革举措。订单融资具体流程及试点金融机构订单融资服务承诺可参阅深圳市政府采购监管网（www.zfcg.sz.gov.cn）信息公开栏目或深圳政府采购网（www.cgzx.sz.gov.cn）政府采购订单融资栏目。如需解决融资难题，请投标人填写财务负责人或企业负责人联系方式，以便金融机构提供更精准的融资服务。财务负责人/企业负责人的联系方式（可选填项）：。</w:t>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pPr>
        <w:adjustRightInd w:val="0"/>
        <w:snapToGrid w:val="0"/>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ascii="宋体" w:hAnsi="宋体" w:eastAsia="宋体"/>
          <w:szCs w:val="21"/>
        </w:rPr>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hint="eastAsia" w:ascii="宋体" w:hAnsi="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8.我单位承诺中标后项目不转包，未经采购人同意不进行分包。</w:t>
      </w:r>
    </w:p>
    <w:p>
      <w:pPr>
        <w:ind w:firstLine="420" w:firstLineChars="200"/>
        <w:rPr>
          <w:rFonts w:ascii="宋体" w:hAnsi="宋体"/>
        </w:rPr>
      </w:pPr>
      <w:r>
        <w:rPr>
          <w:rFonts w:hint="eastAsia" w:ascii="宋体" w:hAnsi="宋体"/>
          <w:szCs w:val="21"/>
        </w:rPr>
        <w:t>9</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10</w:t>
      </w:r>
      <w:r>
        <w:rPr>
          <w:rFonts w:ascii="宋体" w:hAnsi="宋体"/>
        </w:rPr>
        <w:t>.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pPr>
        <w:ind w:firstLine="420" w:firstLineChars="200"/>
        <w:rPr>
          <w:rFonts w:ascii="宋体" w:hAnsi="宋体"/>
          <w:bCs/>
        </w:rPr>
      </w:pPr>
      <w:r>
        <w:rPr>
          <w:rFonts w:hint="eastAsia" w:ascii="宋体" w:hAnsi="宋体" w:cs="宋体"/>
          <w:bCs/>
          <w:kern w:val="0"/>
          <w:szCs w:val="21"/>
        </w:rPr>
        <w:t>11.</w:t>
      </w:r>
      <w:r>
        <w:rPr>
          <w:rFonts w:hint="eastAsia" w:ascii="宋体" w:hAnsi="宋体"/>
          <w:bCs/>
        </w:rPr>
        <w:t xml:space="preserve"> 我单位已知悉并同意中标（成交）结果信息公示（公开）的内容。</w:t>
      </w:r>
    </w:p>
    <w:p>
      <w:pPr>
        <w:ind w:firstLine="420" w:firstLineChars="200"/>
        <w:rPr>
          <w:rFonts w:ascii="宋体" w:hAnsi="宋体"/>
          <w:bCs/>
        </w:rPr>
      </w:pPr>
      <w:r>
        <w:rPr>
          <w:rFonts w:hint="eastAsia" w:ascii="宋体" w:hAnsi="宋体"/>
          <w:bCs/>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如存在“不同供应商的董事、股东或其他高级管理人员为同一人的”情形的，承诺不存在串通投标、恶意串通或者视为串通投标的情形。</w:t>
      </w:r>
    </w:p>
    <w:p>
      <w:pPr>
        <w:ind w:firstLine="422" w:firstLineChars="200"/>
        <w:rPr>
          <w:rFonts w:ascii="宋体" w:hAnsi="宋体"/>
          <w:b/>
        </w:rPr>
      </w:pPr>
      <w:r>
        <w:rPr>
          <w:rFonts w:hint="eastAsia" w:ascii="宋体" w:hAnsi="宋体"/>
          <w:b/>
        </w:rPr>
        <w:t>13.我单位清楚，如存在违反投标承诺行为情节严重的，将根据《深圳市财政局关于印发&lt;深圳市财政局政府采购供应商信用信息管理办法&gt;的通知》，依法被列入失信信息。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eastAsia="宋体" w:cs="Times New Roman"/>
          <w:szCs w:val="21"/>
        </w:rPr>
      </w:pPr>
      <w:r>
        <w:rPr>
          <w:rFonts w:hint="eastAsia" w:ascii="宋体" w:hAnsi="宋体" w:eastAsia="宋体" w:cs="Times New Roman"/>
          <w:szCs w:val="21"/>
        </w:rPr>
        <w:t>以上承诺，如有违反，愿依照国家相关法律法规处理，并承担由此给采购人带来的损失。</w:t>
      </w:r>
    </w:p>
    <w:p>
      <w:pPr>
        <w:ind w:firstLine="420" w:firstLineChars="200"/>
        <w:rPr>
          <w:rFonts w:ascii="宋体" w:hAnsi="宋体" w:eastAsia="宋体" w:cs="Times New Roman"/>
          <w:szCs w:val="21"/>
        </w:rPr>
      </w:pPr>
      <w:r>
        <w:rPr>
          <w:rFonts w:hint="eastAsia" w:ascii="宋体" w:hAnsi="宋体" w:eastAsia="宋体" w:cs="Times New Roman"/>
          <w:szCs w:val="21"/>
        </w:rPr>
        <w:t>投标单位（投标人）名称：</w:t>
      </w:r>
    </w:p>
    <w:p>
      <w:pPr>
        <w:ind w:firstLine="420" w:firstLineChars="200"/>
        <w:rPr>
          <w:rFonts w:ascii="宋体" w:hAnsi="宋体" w:eastAsia="宋体" w:cs="Times New Roman"/>
          <w:szCs w:val="21"/>
        </w:rPr>
      </w:pPr>
      <w:r>
        <w:rPr>
          <w:rFonts w:hint="eastAsia" w:ascii="宋体" w:hAnsi="宋体" w:eastAsia="宋体" w:cs="Times New Roman"/>
          <w:szCs w:val="21"/>
        </w:rPr>
        <w:t>年月日</w:t>
      </w:r>
    </w:p>
    <w:p>
      <w:pPr>
        <w:widowControl/>
        <w:rPr>
          <w:rFonts w:ascii="宋体" w:hAnsi="宋体" w:eastAsia="宋体" w:cs="Times New Roman"/>
          <w:b/>
          <w:color w:val="FF0000"/>
          <w:kern w:val="0"/>
          <w:sz w:val="24"/>
          <w:szCs w:val="24"/>
        </w:rPr>
      </w:pPr>
      <w:r>
        <w:rPr>
          <w:rFonts w:hint="eastAsia" w:ascii="宋体" w:hAnsi="宋体" w:eastAsia="宋体" w:cs="Times New Roman"/>
          <w:b/>
          <w:color w:val="FF0000"/>
          <w:kern w:val="0"/>
          <w:szCs w:val="21"/>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jc w:val="center"/>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分项报价清单</w:t>
      </w:r>
    </w:p>
    <w:p>
      <w:pPr>
        <w:spacing w:afterLines="25" w:line="300" w:lineRule="auto"/>
        <w:rPr>
          <w:rFonts w:ascii="Arial" w:hAnsi="Arial" w:eastAsia="宋体" w:cs="Arial"/>
          <w:szCs w:val="24"/>
        </w:rPr>
      </w:pPr>
      <w:r>
        <w:rPr>
          <w:rFonts w:hint="eastAsia" w:ascii="Arial" w:hAnsi="Arial" w:eastAsia="宋体" w:cs="Arial"/>
          <w:color w:val="000000"/>
          <w:szCs w:val="24"/>
        </w:rPr>
        <w:t>投标单位（投标人）名称：</w:t>
      </w:r>
    </w:p>
    <w:tbl>
      <w:tblPr>
        <w:tblStyle w:val="16"/>
        <w:tblW w:w="9011"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22"/>
        <w:gridCol w:w="3260"/>
        <w:gridCol w:w="1413"/>
        <w:gridCol w:w="1470"/>
        <w:gridCol w:w="2038"/>
        <w:gridCol w:w="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序号</w:t>
            </w:r>
          </w:p>
        </w:tc>
        <w:tc>
          <w:tcPr>
            <w:tcW w:w="3260"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支出项名称</w:t>
            </w:r>
          </w:p>
        </w:tc>
        <w:tc>
          <w:tcPr>
            <w:tcW w:w="1413"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数量</w:t>
            </w:r>
          </w:p>
        </w:tc>
        <w:tc>
          <w:tcPr>
            <w:tcW w:w="1470"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单价（元）</w:t>
            </w:r>
          </w:p>
        </w:tc>
        <w:tc>
          <w:tcPr>
            <w:tcW w:w="2046" w:type="dxa"/>
            <w:gridSpan w:val="2"/>
            <w:vAlign w:val="center"/>
          </w:tcPr>
          <w:p>
            <w:pPr>
              <w:snapToGrid w:val="0"/>
              <w:spacing w:afterLines="25"/>
              <w:jc w:val="center"/>
              <w:rPr>
                <w:rFonts w:ascii="Arial" w:hAnsi="Arial" w:eastAsia="宋体" w:cs="Arial"/>
                <w:szCs w:val="24"/>
              </w:rPr>
            </w:pPr>
            <w:r>
              <w:rPr>
                <w:rFonts w:hint="eastAsia" w:ascii="Arial" w:hAnsi="Arial" w:eastAsia="宋体" w:cs="Arial"/>
                <w:szCs w:val="24"/>
              </w:rPr>
              <w:t>总价（元）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1</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2</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3</w:t>
            </w:r>
          </w:p>
        </w:tc>
        <w:tc>
          <w:tcPr>
            <w:tcW w:w="3260" w:type="dxa"/>
            <w:vAlign w:val="center"/>
          </w:tcPr>
          <w:p>
            <w:pPr>
              <w:snapToGrid w:val="0"/>
              <w:spacing w:afterLines="25"/>
              <w:jc w:val="center"/>
              <w:rPr>
                <w:rFonts w:ascii="Arial" w:hAnsi="Arial" w:eastAsia="宋体" w:cs="Times New Roman"/>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58" w:hRule="atLeast"/>
          <w:jc w:val="center"/>
        </w:trPr>
        <w:tc>
          <w:tcPr>
            <w:tcW w:w="822" w:type="dxa"/>
            <w:vAlign w:val="center"/>
          </w:tcPr>
          <w:p>
            <w:pPr>
              <w:snapToGrid w:val="0"/>
              <w:spacing w:afterLines="25"/>
              <w:jc w:val="center"/>
              <w:rPr>
                <w:rFonts w:ascii="Arial" w:hAnsi="Arial" w:eastAsia="宋体" w:cs="Arial"/>
                <w:szCs w:val="24"/>
              </w:rPr>
            </w:pPr>
            <w:r>
              <w:rPr>
                <w:rFonts w:hint="eastAsia" w:ascii="Arial" w:hAnsi="Arial" w:eastAsia="宋体" w:cs="Arial"/>
                <w:szCs w:val="24"/>
              </w:rPr>
              <w:t>……</w:t>
            </w:r>
          </w:p>
        </w:tc>
        <w:tc>
          <w:tcPr>
            <w:tcW w:w="3260" w:type="dxa"/>
            <w:vAlign w:val="center"/>
          </w:tcPr>
          <w:p>
            <w:pPr>
              <w:snapToGrid w:val="0"/>
              <w:spacing w:afterLines="25"/>
              <w:jc w:val="center"/>
              <w:rPr>
                <w:rFonts w:ascii="Arial" w:hAnsi="Arial" w:eastAsia="宋体" w:cs="Arial"/>
                <w:szCs w:val="24"/>
              </w:rPr>
            </w:pPr>
          </w:p>
        </w:tc>
        <w:tc>
          <w:tcPr>
            <w:tcW w:w="1413" w:type="dxa"/>
            <w:vAlign w:val="center"/>
          </w:tcPr>
          <w:p>
            <w:pPr>
              <w:snapToGrid w:val="0"/>
              <w:spacing w:afterLines="25"/>
              <w:jc w:val="center"/>
              <w:rPr>
                <w:rFonts w:ascii="Arial" w:hAnsi="Arial" w:eastAsia="宋体" w:cs="Arial"/>
                <w:szCs w:val="24"/>
              </w:rPr>
            </w:pPr>
          </w:p>
        </w:tc>
        <w:tc>
          <w:tcPr>
            <w:tcW w:w="1470" w:type="dxa"/>
            <w:vAlign w:val="center"/>
          </w:tcPr>
          <w:p>
            <w:pPr>
              <w:snapToGrid w:val="0"/>
              <w:spacing w:afterLines="25"/>
              <w:jc w:val="center"/>
              <w:rPr>
                <w:rFonts w:ascii="Arial" w:hAnsi="Arial" w:eastAsia="宋体" w:cs="Arial"/>
                <w:szCs w:val="24"/>
              </w:rPr>
            </w:pPr>
          </w:p>
        </w:tc>
        <w:tc>
          <w:tcPr>
            <w:tcW w:w="2046" w:type="dxa"/>
            <w:gridSpan w:val="2"/>
            <w:vAlign w:val="center"/>
          </w:tcPr>
          <w:p>
            <w:pPr>
              <w:snapToGrid w:val="0"/>
              <w:spacing w:afterLines="25"/>
              <w:jc w:val="center"/>
              <w:rPr>
                <w:rFonts w:ascii="Arial" w:hAnsi="Arial" w:eastAsia="宋体" w:cs="Arial"/>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gridAfter w:val="1"/>
          <w:wAfter w:w="8" w:type="dxa"/>
          <w:cantSplit/>
          <w:trHeight w:val="646" w:hRule="atLeast"/>
          <w:jc w:val="center"/>
        </w:trPr>
        <w:tc>
          <w:tcPr>
            <w:tcW w:w="6965" w:type="dxa"/>
            <w:gridSpan w:val="4"/>
            <w:vAlign w:val="center"/>
          </w:tcPr>
          <w:p>
            <w:pPr>
              <w:snapToGrid w:val="0"/>
              <w:spacing w:afterLines="25"/>
              <w:jc w:val="center"/>
              <w:rPr>
                <w:rFonts w:ascii="Arial" w:hAnsi="Arial" w:eastAsia="宋体" w:cs="Arial"/>
                <w:b/>
                <w:szCs w:val="24"/>
              </w:rPr>
            </w:pPr>
            <w:r>
              <w:rPr>
                <w:rFonts w:hint="eastAsia" w:ascii="Arial" w:hAnsi="Arial" w:eastAsia="宋体" w:cs="Arial"/>
                <w:b/>
                <w:szCs w:val="24"/>
              </w:rPr>
              <w:t>投标总价</w:t>
            </w:r>
            <w:r>
              <w:rPr>
                <w:rFonts w:hint="eastAsia" w:ascii="Arial" w:hAnsi="Arial" w:eastAsia="宋体" w:cs="Times New Roman"/>
                <w:szCs w:val="24"/>
              </w:rPr>
              <w:t>（以上各项之和；币种：人民币；单位：元）</w:t>
            </w:r>
          </w:p>
        </w:tc>
        <w:tc>
          <w:tcPr>
            <w:tcW w:w="2038" w:type="dxa"/>
            <w:vAlign w:val="center"/>
          </w:tcPr>
          <w:p>
            <w:pPr>
              <w:snapToGrid w:val="0"/>
              <w:spacing w:afterLines="25"/>
              <w:jc w:val="center"/>
              <w:rPr>
                <w:rFonts w:ascii="Arial" w:hAnsi="Arial" w:eastAsia="宋体" w:cs="Arial"/>
                <w:szCs w:val="24"/>
              </w:rPr>
            </w:pPr>
          </w:p>
        </w:tc>
      </w:tr>
    </w:tbl>
    <w:p>
      <w:pPr>
        <w:spacing w:afterLines="25" w:line="300" w:lineRule="auto"/>
        <w:rPr>
          <w:rFonts w:ascii="Arial" w:hAnsi="Arial" w:eastAsia="宋体" w:cs="Times New Roman"/>
          <w:b/>
          <w:szCs w:val="24"/>
        </w:rPr>
      </w:pPr>
      <w:r>
        <w:rPr>
          <w:rFonts w:hint="eastAsia" w:ascii="Arial" w:hAnsi="Arial" w:eastAsia="宋体" w:cs="Times New Roman"/>
          <w:b/>
          <w:szCs w:val="24"/>
        </w:rPr>
        <w:t>填写说明：</w:t>
      </w:r>
    </w:p>
    <w:p>
      <w:pPr>
        <w:spacing w:afterLines="25" w:line="300" w:lineRule="auto"/>
        <w:rPr>
          <w:rFonts w:ascii="Arial" w:hAnsi="Arial" w:eastAsia="宋体" w:cs="Times New Roman"/>
          <w:b/>
          <w:szCs w:val="24"/>
        </w:rPr>
      </w:pPr>
      <w:r>
        <w:rPr>
          <w:rFonts w:hint="eastAsia" w:ascii="Arial" w:hAnsi="Arial" w:eastAsia="宋体" w:cs="Times New Roman"/>
          <w:b/>
          <w:szCs w:val="24"/>
        </w:rPr>
        <w:t>1、此表可延长，各投标人根据本项目实际涉及的所有支出项情况修改后填写。本表如有缺漏项，由投标人自行承担。</w:t>
      </w:r>
    </w:p>
    <w:p>
      <w:pPr>
        <w:spacing w:line="360" w:lineRule="exact"/>
        <w:rPr>
          <w:rFonts w:ascii="宋体" w:hAnsi="宋体" w:eastAsia="宋体" w:cs="Times New Roman"/>
          <w:b/>
          <w:szCs w:val="21"/>
        </w:rPr>
      </w:pPr>
      <w:r>
        <w:rPr>
          <w:rFonts w:hint="eastAsia" w:ascii="宋体" w:hAnsi="宋体" w:eastAsia="宋体" w:cs="Times New Roman"/>
          <w:b/>
          <w:szCs w:val="21"/>
        </w:rPr>
        <w:t>2、中标人签订合同前将详细的《分项报价清单》递交采购单位，经采购单位审核同意后方可实施。</w:t>
      </w:r>
    </w:p>
    <w:p>
      <w:pPr>
        <w:spacing w:afterLines="25" w:line="300" w:lineRule="auto"/>
        <w:rPr>
          <w:rFonts w:ascii="Arial" w:hAnsi="Arial" w:eastAsia="宋体" w:cs="Times New Roman"/>
          <w:b/>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4.中小企业相关声明函</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填写指引：</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2、该部分内容填写需要参考的相关文件：</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(1)财政部《政府采购促进中小企业发展管理办法》（财库〔2020〕46号）；</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(2)《工业和信息化部、国家统计局、国家发展和改革委员会、财政部关于印发中小企业划型标准规定的通知》（工信部联企业〔2011〕300 号，以下简称300号文）；</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(3)《统计上大中小微型企业划分办法(2017)》（国统字〔2017〕213 号）；</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(4)《关于促进残疾人就业政府采购政策的通知》（财库〔2017〕141号）；</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(5)《关于政府采购支持监狱企业发展有关问题的通知》（财库〔2014〕68号）</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3、请依照提供的格式和内容填写声明函，不要随意变更格式；声明函不需要盖章或签字；满足多项优惠政策的投标人，不重复享受多项价格扣除政策。</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 xml:space="preserve">    4、声明函具体填写要求：</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 xml:space="preserve">    （1）声明是中小企业须填写《中小企业声明函》的以下内容：</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 xml:space="preserve">    第一处，在“单位名称”下划线处如实填写采购人名称（深圳公共资源交易中心不是本项目的采购人，而是组织实施机构）；</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 xml:space="preserve">    第二处，在“项目名称”下划线处如实填写采购项目名称；</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 xml:space="preserve">  第三处，在“标的名称”下划线处填写所采购服务（标的）的具体名称</w:t>
      </w:r>
      <w:r>
        <w:rPr>
          <w:rFonts w:hint="eastAsia" w:ascii="黑体" w:hAnsi="黑体" w:eastAsia="黑体" w:cs="黑体"/>
          <w:color w:val="0000FF"/>
          <w:sz w:val="25"/>
          <w:szCs w:val="25"/>
        </w:rPr>
        <w:t>（以招标文件第一册第三章用户需求书“服务需求明细”的“服务需求名称”一栏为准）</w:t>
      </w:r>
      <w:r>
        <w:rPr>
          <w:rFonts w:hint="eastAsia" w:ascii="黑体" w:hAnsi="黑体" w:eastAsia="黑体" w:cs="黑体"/>
          <w:color w:val="FF0000"/>
          <w:sz w:val="25"/>
          <w:szCs w:val="25"/>
        </w:rPr>
        <w:t>；如果涉及多项服务（标的）为同一企业承接，“标的名称”下划线处可以如实填写多项服务；</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 xml:space="preserve">    第四处，在“招标文件中明确的所属行业”下划线处填写采购标的对应的中小企业划分标准所属行业</w:t>
      </w:r>
      <w:r>
        <w:rPr>
          <w:rFonts w:hint="eastAsia" w:ascii="黑体" w:hAnsi="黑体" w:eastAsia="黑体" w:cs="黑体"/>
          <w:color w:val="0000FF"/>
          <w:sz w:val="25"/>
          <w:szCs w:val="25"/>
        </w:rPr>
        <w:t>（所属行业详见招标文件第一册第二章“对通用条款的补充内容及其他关键信息”章节或第三章用户需求书“服务需求明细”中的所属行业信息）</w:t>
      </w:r>
      <w:r>
        <w:rPr>
          <w:rFonts w:hint="eastAsia" w:ascii="黑体" w:hAnsi="黑体" w:eastAsia="黑体" w:cs="黑体"/>
          <w:color w:val="FF0000"/>
          <w:sz w:val="25"/>
          <w:szCs w:val="25"/>
        </w:rPr>
        <w:t>；</w:t>
      </w:r>
    </w:p>
    <w:p>
      <w:pPr>
        <w:snapToGrid w:val="0"/>
        <w:rPr>
          <w:rFonts w:ascii="黑体" w:hAnsi="黑体" w:eastAsia="黑体" w:cs="黑体"/>
          <w:color w:val="FF0000"/>
          <w:sz w:val="25"/>
          <w:szCs w:val="25"/>
        </w:rPr>
      </w:pPr>
      <w:r>
        <w:rPr>
          <w:rFonts w:hint="eastAsia" w:ascii="黑体" w:hAnsi="黑体" w:eastAsia="黑体" w:cs="黑体"/>
          <w:color w:val="FF0000"/>
          <w:sz w:val="25"/>
          <w:szCs w:val="25"/>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（2）声明是残疾人福利性单位须填写《残疾人福利性单位声明函》的相关内容，具体参照以上《中小企业声明函》填写要求执行。</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（3）声明是监狱企业须填写《监狱企业声明函》的三项内容（填写位置的字体已加粗），具体参照以上《中小企业声明函》填写要求执行。</w:t>
      </w:r>
    </w:p>
    <w:p>
      <w:pPr>
        <w:snapToGrid w:val="0"/>
        <w:ind w:firstLine="500" w:firstLineChars="200"/>
        <w:rPr>
          <w:rFonts w:ascii="黑体" w:hAnsi="黑体" w:eastAsia="黑体" w:cs="黑体"/>
          <w:color w:val="FF0000"/>
          <w:sz w:val="25"/>
          <w:szCs w:val="25"/>
        </w:rPr>
      </w:pPr>
      <w:r>
        <w:rPr>
          <w:rFonts w:hint="eastAsia" w:ascii="黑体" w:hAnsi="黑体" w:eastAsia="黑体" w:cs="黑体"/>
          <w:color w:val="FF0000"/>
          <w:sz w:val="25"/>
          <w:szCs w:val="25"/>
        </w:rPr>
        <w:t>5、声明函的有效性最终由评审委员会判定；如评审委员会判定声明函无效，相关供应商不享受价格扣除（但不作投标无效处理）。</w:t>
      </w:r>
    </w:p>
    <w:p>
      <w:pPr>
        <w:widowControl/>
        <w:jc w:val="center"/>
        <w:outlineLvl w:val="4"/>
        <w:rPr>
          <w:rFonts w:ascii="Arial" w:hAnsi="Arial" w:eastAsia="宋体" w:cs="Times New Roman"/>
          <w:b/>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fldChar w:fldCharType="begin"/>
      </w:r>
      <w:r>
        <w:rPr>
          <w:rFonts w:hint="eastAsia" w:ascii="宋体" w:hAnsi="宋体" w:eastAsia="宋体" w:cs="Times New Roman"/>
          <w:b/>
          <w:sz w:val="24"/>
          <w:szCs w:val="24"/>
        </w:rPr>
        <w:instrText xml:space="preserve">= 1 \* GB3</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中小企业声明函（服务）</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投标人</w:t>
      </w:r>
      <w:r>
        <w:rPr>
          <w:rFonts w:ascii="宋体" w:hAnsi="宋体" w:eastAsia="宋体" w:cs="Times New Roman"/>
          <w:szCs w:val="21"/>
        </w:rPr>
        <w:t>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w:t>
      </w:r>
      <w:r>
        <w:rPr>
          <w:rFonts w:hint="eastAsia" w:ascii="宋体" w:hAnsi="宋体" w:eastAsia="宋体" w:cs="Times New Roman"/>
          <w:szCs w:val="21"/>
        </w:rPr>
        <w:t>投标人</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服务</w:t>
      </w:r>
      <w:r>
        <w:rPr>
          <w:rFonts w:ascii="宋体" w:hAnsi="宋体" w:eastAsia="宋体" w:cs="Times New Roman"/>
          <w:szCs w:val="21"/>
        </w:rPr>
        <w:t>全部由符合政策要求的中小企业</w:t>
      </w:r>
      <w:r>
        <w:rPr>
          <w:rFonts w:hint="eastAsia" w:ascii="宋体" w:hAnsi="宋体" w:eastAsia="宋体" w:cs="Times New Roman"/>
          <w:szCs w:val="21"/>
        </w:rPr>
        <w:t>承接</w:t>
      </w:r>
      <w:r>
        <w:rPr>
          <w:rFonts w:ascii="宋体" w:hAnsi="宋体" w:eastAsia="宋体" w:cs="Times New Roman"/>
          <w:szCs w:val="21"/>
        </w:rPr>
        <w:t>。相关企业的具体情况如下：</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 xml:space="preserve"> （标的名称）</w:t>
      </w:r>
      <w:r>
        <w:rPr>
          <w:rFonts w:ascii="宋体" w:hAnsi="宋体" w:eastAsia="宋体" w:cs="Times New Roman"/>
          <w:szCs w:val="21"/>
        </w:rPr>
        <w:t xml:space="preserve"> ，属于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ascii="宋体" w:hAnsi="宋体" w:eastAsia="宋体" w:cs="Times New Roman"/>
          <w:szCs w:val="21"/>
        </w:rPr>
        <w:t>，从业人员人，营业收入为万元，资产总额为万元 ，属于</w:t>
      </w:r>
      <w:r>
        <w:rPr>
          <w:rFonts w:ascii="宋体" w:hAnsi="宋体" w:eastAsia="宋体" w:cs="Times New Roman"/>
          <w:b/>
          <w:bCs/>
          <w:szCs w:val="21"/>
          <w:u w:val="single"/>
        </w:rPr>
        <w:t>（中型企业、小型企业、微型企业）</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b/>
          <w:bCs/>
          <w:szCs w:val="21"/>
          <w:u w:val="single"/>
        </w:rPr>
        <w:t xml:space="preserve"> （标的名称）</w:t>
      </w:r>
      <w:r>
        <w:rPr>
          <w:rFonts w:ascii="宋体" w:hAnsi="宋体" w:eastAsia="宋体" w:cs="Times New Roman"/>
          <w:szCs w:val="21"/>
        </w:rPr>
        <w:t xml:space="preserve"> ，属于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ascii="宋体" w:hAnsi="宋体" w:eastAsia="宋体" w:cs="Times New Roman"/>
          <w:szCs w:val="21"/>
        </w:rPr>
        <w:t>，从业人员人，营业收入为万元，资产总额为万元 ，属于</w:t>
      </w:r>
      <w:r>
        <w:rPr>
          <w:rFonts w:ascii="宋体" w:hAnsi="宋体" w:eastAsia="宋体" w:cs="Times New Roman"/>
          <w:b/>
          <w:bCs/>
          <w:szCs w:val="21"/>
          <w:u w:val="single"/>
        </w:rPr>
        <w:t>（中型企业、小型企业、微型企业）</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spacing w:afterLines="25" w:line="300" w:lineRule="auto"/>
        <w:ind w:firstLine="420" w:firstLineChars="200"/>
        <w:rPr>
          <w:rFonts w:ascii="宋体" w:hAnsi="宋体" w:eastAsia="宋体" w:cs="Times New Roman"/>
          <w:szCs w:val="21"/>
        </w:rPr>
      </w:pPr>
      <w:bookmarkStart w:id="23" w:name="_Hlk73562275"/>
      <w:r>
        <w:rPr>
          <w:rFonts w:hint="eastAsia" w:ascii="宋体" w:hAnsi="宋体" w:eastAsia="宋体" w:cs="Times New Roman"/>
          <w:szCs w:val="21"/>
        </w:rPr>
        <w:t>本</w:t>
      </w:r>
      <w:r>
        <w:rPr>
          <w:rFonts w:ascii="宋体" w:hAnsi="宋体"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宋体" w:hAnsi="宋体" w:eastAsia="宋体" w:cs="Times New Roman"/>
          <w:szCs w:val="21"/>
        </w:rPr>
        <w:t>投标人</w:t>
      </w:r>
      <w:r>
        <w:rPr>
          <w:rFonts w:ascii="宋体" w:hAnsi="宋体" w:eastAsia="宋体" w:cs="Times New Roman"/>
          <w:szCs w:val="21"/>
        </w:rPr>
        <w:t>按照本办法规定提供声明函内容不实的，属于提供虚假材料谋取中标，依照《政府采购法》等政府采购有关法律法规规定追究相应责任</w:t>
      </w:r>
      <w:r>
        <w:rPr>
          <w:rFonts w:hint="eastAsia" w:ascii="宋体" w:hAnsi="宋体" w:eastAsia="宋体" w:cs="Times New Roman"/>
          <w:szCs w:val="21"/>
        </w:rPr>
        <w:t>。</w:t>
      </w:r>
      <w:bookmarkEnd w:id="23"/>
    </w:p>
    <w:p>
      <w:pPr>
        <w:spacing w:afterLines="25" w:line="300" w:lineRule="auto"/>
        <w:ind w:firstLine="420" w:firstLineChars="200"/>
        <w:jc w:val="center"/>
        <w:rPr>
          <w:rFonts w:ascii="宋体" w:hAnsi="宋体" w:eastAsia="宋体" w:cs="Times New Roman"/>
          <w:szCs w:val="21"/>
        </w:rPr>
      </w:pP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     投标人（投标单位）：       </w:t>
      </w: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日期：       </w:t>
      </w:r>
    </w:p>
    <w:p>
      <w:pPr>
        <w:spacing w:afterLines="25" w:line="300" w:lineRule="auto"/>
        <w:ind w:firstLine="482" w:firstLineChars="200"/>
        <w:jc w:val="center"/>
        <w:rPr>
          <w:rFonts w:ascii="Arial" w:hAnsi="Arial" w:eastAsia="宋体" w:cs="Times New Roman"/>
          <w:b/>
          <w:sz w:val="24"/>
          <w:szCs w:val="24"/>
        </w:rPr>
      </w:pPr>
    </w:p>
    <w:p>
      <w:pPr>
        <w:spacing w:afterLines="25" w:line="560" w:lineRule="exact"/>
        <w:ind w:firstLine="482" w:firstLineChars="200"/>
        <w:rPr>
          <w:rFonts w:ascii="Arial" w:hAnsi="Arial" w:eastAsia="宋体" w:cs="Times New Roman"/>
          <w:b/>
          <w:sz w:val="24"/>
          <w:szCs w:val="24"/>
        </w:rPr>
      </w:pPr>
    </w:p>
    <w:p>
      <w:pPr>
        <w:spacing w:afterLines="25" w:line="300" w:lineRule="auto"/>
        <w:ind w:firstLine="422" w:firstLineChars="200"/>
        <w:rPr>
          <w:rFonts w:ascii="宋体" w:hAnsi="宋体" w:eastAsia="宋体" w:cs="Times New Roman"/>
          <w:szCs w:val="21"/>
          <w:highlight w:val="yellow"/>
        </w:rPr>
      </w:pPr>
      <w:r>
        <w:rPr>
          <w:rFonts w:hint="eastAsia" w:ascii="Arial" w:hAnsi="Arial" w:eastAsia="宋体" w:cs="Times New Roman"/>
          <w:b/>
          <w:szCs w:val="21"/>
          <w:highlight w:val="yellow"/>
        </w:rPr>
        <w:t>说明：</w:t>
      </w:r>
      <w:r>
        <w:rPr>
          <w:rFonts w:hint="eastAsia" w:ascii="宋体" w:hAnsi="宋体" w:eastAsia="宋体" w:cs="Times New Roman"/>
          <w:szCs w:val="21"/>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spacing w:afterLines="25" w:line="300" w:lineRule="auto"/>
        <w:ind w:firstLine="420" w:firstLineChars="200"/>
        <w:rPr>
          <w:rFonts w:ascii="宋体" w:hAnsi="宋体" w:eastAsia="宋体" w:cs="Times New Roman"/>
          <w:color w:val="FF0000"/>
          <w:szCs w:val="21"/>
          <w:highlight w:val="yellow"/>
        </w:rPr>
      </w:pPr>
    </w:p>
    <w:p>
      <w:pPr>
        <w:spacing w:afterLines="25" w:line="300" w:lineRule="auto"/>
        <w:jc w:val="center"/>
        <w:outlineLvl w:val="4"/>
        <w:rPr>
          <w:rFonts w:ascii="Arial" w:hAnsi="Arial"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②残疾人福利性单位声明函（服务）</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本</w:t>
      </w:r>
      <w:r>
        <w:rPr>
          <w:rFonts w:hint="eastAsia" w:cs="Times New Roman" w:asciiTheme="minorEastAsia" w:hAnsiTheme="minorEastAsia"/>
          <w:szCs w:val="21"/>
        </w:rPr>
        <w:t>投标人郑重声明，根据《财政部民政部中国残疾人联合会关于促进残疾人就业政府采购政策的通知》（财库〔</w:t>
      </w:r>
      <w:r>
        <w:rPr>
          <w:rFonts w:cs="Times New Roman" w:asciiTheme="minorEastAsia" w:hAnsiTheme="minorEastAsia"/>
          <w:szCs w:val="21"/>
        </w:rPr>
        <w:t>2017</w:t>
      </w:r>
      <w:r>
        <w:rPr>
          <w:rFonts w:hint="eastAsia" w:cs="Times New Roman" w:asciiTheme="minorEastAsia" w:hAnsiTheme="minorEastAsia"/>
          <w:szCs w:val="21"/>
        </w:rPr>
        <w:t>〕</w:t>
      </w:r>
      <w:r>
        <w:rPr>
          <w:rFonts w:cs="Times New Roman" w:asciiTheme="minorEastAsia" w:hAnsiTheme="minorEastAsia"/>
          <w:szCs w:val="21"/>
        </w:rPr>
        <w:t xml:space="preserve">141 </w:t>
      </w:r>
      <w:r>
        <w:rPr>
          <w:rFonts w:hint="eastAsia" w:cs="Times New Roman" w:asciiTheme="minorEastAsia" w:hAnsiTheme="minorEastAsia"/>
          <w:szCs w:val="21"/>
        </w:rPr>
        <w:t>号）的规定，本投标人</w:t>
      </w:r>
      <w:r>
        <w:rPr>
          <w:rFonts w:cs="Times New Roman" w:asciiTheme="minorEastAsia" w:hAnsiTheme="minorEastAsia"/>
          <w:szCs w:val="21"/>
        </w:rPr>
        <w:t>参加</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采购人</w:t>
      </w:r>
      <w:r>
        <w:rPr>
          <w:rFonts w:cs="Times New Roman" w:asciiTheme="minorEastAsia" w:hAnsiTheme="minorEastAsia"/>
          <w:b/>
          <w:bCs/>
          <w:szCs w:val="21"/>
          <w:u w:val="single"/>
        </w:rPr>
        <w:t>名称）</w:t>
      </w:r>
      <w:r>
        <w:rPr>
          <w:rFonts w:cs="Times New Roman" w:asciiTheme="minorEastAsia" w:hAnsiTheme="minorEastAsia"/>
          <w:szCs w:val="21"/>
        </w:rPr>
        <w:t>的</w:t>
      </w:r>
      <w:r>
        <w:rPr>
          <w:rFonts w:cs="Times New Roman" w:asciiTheme="minorEastAsia" w:hAnsiTheme="minorEastAsia"/>
          <w:b/>
          <w:bCs/>
          <w:szCs w:val="21"/>
          <w:u w:val="single"/>
        </w:rPr>
        <w:t>（项目名称）</w:t>
      </w:r>
      <w:r>
        <w:rPr>
          <w:rFonts w:cs="Times New Roman" w:asciiTheme="minorEastAsia" w:hAnsiTheme="minorEastAsia"/>
          <w:szCs w:val="21"/>
        </w:rPr>
        <w:t>采购活动，</w:t>
      </w:r>
      <w:r>
        <w:rPr>
          <w:rFonts w:hint="eastAsia" w:cs="Times New Roman" w:asciiTheme="minorEastAsia" w:hAnsiTheme="minorEastAsia"/>
          <w:szCs w:val="21"/>
        </w:rPr>
        <w:t>服务</w:t>
      </w:r>
      <w:r>
        <w:rPr>
          <w:rFonts w:cs="Times New Roman" w:asciiTheme="minorEastAsia" w:hAnsiTheme="minorEastAsia"/>
          <w:szCs w:val="21"/>
        </w:rPr>
        <w:t>全部由符合政策要求的</w:t>
      </w:r>
      <w:r>
        <w:rPr>
          <w:rFonts w:hint="eastAsia" w:cs="Times New Roman" w:asciiTheme="minorEastAsia" w:hAnsiTheme="minorEastAsia"/>
          <w:szCs w:val="21"/>
        </w:rPr>
        <w:t>残疾人福利性单位承接</w:t>
      </w:r>
      <w:r>
        <w:rPr>
          <w:rFonts w:cs="Times New Roman" w:asciiTheme="minorEastAsia" w:hAnsiTheme="minorEastAsia"/>
          <w:szCs w:val="21"/>
        </w:rPr>
        <w:t>。相关</w:t>
      </w:r>
      <w:r>
        <w:rPr>
          <w:rFonts w:hint="eastAsia" w:cs="Times New Roman" w:asciiTheme="minorEastAsia" w:hAnsiTheme="minorEastAsia"/>
          <w:szCs w:val="21"/>
        </w:rPr>
        <w:t>残疾人福利性单位</w:t>
      </w:r>
      <w:r>
        <w:rPr>
          <w:rFonts w:cs="Times New Roman" w:asciiTheme="minorEastAsia" w:hAnsiTheme="minorEastAsia"/>
          <w:szCs w:val="21"/>
        </w:rPr>
        <w:t>的具体情况如下：</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1.</w:t>
      </w:r>
      <w:r>
        <w:rPr>
          <w:rFonts w:cs="Times New Roman" w:asciiTheme="minorEastAsia" w:hAnsiTheme="minorEastAsia"/>
          <w:b/>
          <w:bCs/>
          <w:szCs w:val="21"/>
          <w:u w:val="single"/>
        </w:rPr>
        <w:t xml:space="preserve"> （标的名称）</w:t>
      </w:r>
      <w:r>
        <w:rPr>
          <w:rFonts w:hint="eastAsia" w:cs="Times New Roman" w:asciiTheme="minorEastAsia" w:hAnsiTheme="minorEastAsia"/>
          <w:szCs w:val="21"/>
        </w:rPr>
        <w:t>，承接企业</w:t>
      </w:r>
      <w:r>
        <w:rPr>
          <w:rFonts w:cs="Times New Roman" w:asciiTheme="minorEastAsia" w:hAnsiTheme="minorEastAsia"/>
          <w:szCs w:val="21"/>
        </w:rPr>
        <w:t>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2.</w:t>
      </w:r>
      <w:r>
        <w:rPr>
          <w:rFonts w:cs="Times New Roman" w:asciiTheme="minorEastAsia" w:hAnsiTheme="minorEastAsia"/>
          <w:b/>
          <w:bCs/>
          <w:szCs w:val="21"/>
          <w:u w:val="single"/>
        </w:rPr>
        <w:t xml:space="preserve"> （标的名称）</w:t>
      </w:r>
      <w:r>
        <w:rPr>
          <w:rFonts w:hint="eastAsia" w:cs="Times New Roman" w:asciiTheme="minorEastAsia" w:hAnsiTheme="minorEastAsia"/>
          <w:szCs w:val="21"/>
        </w:rPr>
        <w:t>，承接企业</w:t>
      </w:r>
      <w:r>
        <w:rPr>
          <w:rFonts w:cs="Times New Roman" w:asciiTheme="minorEastAsia" w:hAnsiTheme="minorEastAsia"/>
          <w:szCs w:val="21"/>
        </w:rPr>
        <w:t>为</w:t>
      </w:r>
      <w:r>
        <w:rPr>
          <w:rFonts w:cs="Times New Roman" w:asciiTheme="minorEastAsia" w:hAnsiTheme="minorEastAsia"/>
          <w:b/>
          <w:bCs/>
          <w:szCs w:val="21"/>
          <w:u w:val="single"/>
        </w:rPr>
        <w:t>（</w:t>
      </w:r>
      <w:r>
        <w:rPr>
          <w:rFonts w:hint="eastAsia" w:cs="Times New Roman" w:asciiTheme="minorEastAsia" w:hAnsiTheme="minorEastAsia"/>
          <w:b/>
          <w:bCs/>
          <w:szCs w:val="21"/>
          <w:u w:val="single"/>
        </w:rPr>
        <w:t>单位</w:t>
      </w:r>
      <w:r>
        <w:rPr>
          <w:rFonts w:cs="Times New Roman" w:asciiTheme="minorEastAsia" w:hAnsiTheme="minorEastAsia"/>
          <w:b/>
          <w:bCs/>
          <w:szCs w:val="21"/>
          <w:u w:val="single"/>
        </w:rPr>
        <w:t>名称）</w:t>
      </w:r>
      <w:r>
        <w:rPr>
          <w:rFonts w:cs="Times New Roman" w:asciiTheme="minorEastAsia" w:hAnsiTheme="minorEastAsia"/>
          <w:szCs w:val="21"/>
        </w:rPr>
        <w:t>，属于</w:t>
      </w:r>
      <w:r>
        <w:rPr>
          <w:rFonts w:hint="eastAsia" w:cs="Times New Roman" w:asciiTheme="minorEastAsia" w:hAnsiTheme="minorEastAsia"/>
          <w:b/>
          <w:bCs/>
          <w:szCs w:val="21"/>
          <w:u w:val="single"/>
        </w:rPr>
        <w:t>残疾人福利性单位</w:t>
      </w:r>
      <w:r>
        <w:rPr>
          <w:rFonts w:hint="eastAsia" w:cs="Times New Roman" w:asciiTheme="minorEastAsia" w:hAnsiTheme="minorEastAsia"/>
          <w:szCs w:val="21"/>
        </w:rPr>
        <w:t>。</w:t>
      </w:r>
    </w:p>
    <w:p>
      <w:pPr>
        <w:spacing w:afterLines="25" w:line="300" w:lineRule="auto"/>
        <w:ind w:firstLine="420" w:firstLineChars="200"/>
        <w:rPr>
          <w:rFonts w:cs="Times New Roman" w:asciiTheme="minorEastAsia" w:hAnsiTheme="minorEastAsia"/>
          <w:szCs w:val="21"/>
        </w:rPr>
      </w:pPr>
      <w:r>
        <w:rPr>
          <w:rFonts w:cs="Times New Roman" w:asciiTheme="minorEastAsia" w:hAnsiTheme="minorEastAsia"/>
          <w:szCs w:val="21"/>
        </w:rPr>
        <w:t xml:space="preserve">…… </w:t>
      </w:r>
    </w:p>
    <w:p>
      <w:pPr>
        <w:spacing w:afterLines="25" w:line="300" w:lineRule="auto"/>
        <w:ind w:firstLine="420" w:firstLineChars="200"/>
        <w:rPr>
          <w:rFonts w:cs="Times New Roman" w:asciiTheme="minorEastAsia" w:hAnsiTheme="minorEastAsia"/>
          <w:szCs w:val="21"/>
        </w:rPr>
      </w:pPr>
      <w:r>
        <w:rPr>
          <w:rFonts w:hint="eastAsia" w:cs="Times New Roman" w:asciiTheme="minorEastAsia" w:hAnsiTheme="minorEastAsia"/>
          <w:szCs w:val="21"/>
        </w:rPr>
        <w:t>本</w:t>
      </w:r>
      <w:r>
        <w:rPr>
          <w:rFonts w:cs="Times New Roman" w:asciiTheme="minorEastAsia" w:hAnsiTheme="minorEastAsia"/>
          <w:szCs w:val="21"/>
        </w:rPr>
        <w:t>投标人</w:t>
      </w:r>
      <w:r>
        <w:rPr>
          <w:rFonts w:hint="eastAsia" w:cs="Times New Roman" w:asciiTheme="minorEastAsia" w:hAnsiTheme="minorEastAsia"/>
          <w:szCs w:val="21"/>
        </w:rPr>
        <w:t>已</w:t>
      </w:r>
      <w:r>
        <w:rPr>
          <w:rFonts w:cs="Times New Roman" w:asciiTheme="minorEastAsia" w:hAnsiTheme="minorEastAsia"/>
          <w:szCs w:val="21"/>
        </w:rPr>
        <w:t>知悉</w:t>
      </w:r>
      <w:r>
        <w:rPr>
          <w:rFonts w:hint="eastAsia" w:cs="Times New Roman" w:asciiTheme="minorEastAsia" w:hAnsiTheme="minorEastAsia"/>
          <w:szCs w:val="21"/>
        </w:rPr>
        <w:t>《财政部民政部中国残疾人联合会关于促进残疾人就业政府采购政策的通知》（财库〔2017〕141 号）</w:t>
      </w:r>
      <w:r>
        <w:rPr>
          <w:rFonts w:cs="Times New Roman" w:asciiTheme="minorEastAsia" w:hAnsiTheme="minorEastAsia"/>
          <w:szCs w:val="21"/>
        </w:rPr>
        <w:t>的规定，承诺提供的声明函内容是真实的，如提供声明函内容不实，则依法追究相关法律责任</w:t>
      </w:r>
      <w:r>
        <w:rPr>
          <w:rFonts w:hint="eastAsia" w:cs="Times New Roman" w:asciiTheme="minorEastAsia" w:hAnsiTheme="minorEastAsia"/>
          <w:szCs w:val="21"/>
        </w:rPr>
        <w:t>。</w:t>
      </w:r>
    </w:p>
    <w:p>
      <w:pPr>
        <w:spacing w:afterLines="25" w:line="560" w:lineRule="exact"/>
        <w:ind w:firstLine="420" w:firstLineChars="200"/>
        <w:jc w:val="center"/>
        <w:rPr>
          <w:rFonts w:cs="Times New Roman" w:asciiTheme="minorEastAsia" w:hAnsiTheme="minorEastAsia"/>
          <w:szCs w:val="24"/>
        </w:rPr>
      </w:pPr>
    </w:p>
    <w:p>
      <w:pPr>
        <w:wordWrap w:val="0"/>
        <w:spacing w:afterLines="25" w:line="300" w:lineRule="auto"/>
        <w:ind w:firstLine="420" w:firstLineChars="200"/>
        <w:jc w:val="right"/>
        <w:rPr>
          <w:rFonts w:cs="Times New Roman" w:asciiTheme="minorEastAsia" w:hAnsiTheme="minorEastAsia"/>
          <w:szCs w:val="21"/>
        </w:rPr>
      </w:pPr>
      <w:r>
        <w:rPr>
          <w:rFonts w:hint="eastAsia" w:cs="Times New Roman" w:asciiTheme="minorEastAsia" w:hAnsiTheme="minorEastAsia"/>
          <w:szCs w:val="21"/>
        </w:rPr>
        <w:t xml:space="preserve">投标人（投标单位）：       </w:t>
      </w:r>
    </w:p>
    <w:p>
      <w:pPr>
        <w:wordWrap w:val="0"/>
        <w:spacing w:afterLines="25" w:line="300" w:lineRule="auto"/>
        <w:ind w:firstLine="420" w:firstLineChars="200"/>
        <w:jc w:val="right"/>
        <w:rPr>
          <w:rFonts w:cs="Times New Roman" w:asciiTheme="minorEastAsia" w:hAnsiTheme="minorEastAsia"/>
          <w:szCs w:val="21"/>
        </w:rPr>
      </w:pPr>
      <w:r>
        <w:rPr>
          <w:rFonts w:hint="eastAsia" w:cs="Times New Roman" w:asciiTheme="minorEastAsia" w:hAnsiTheme="minorEastAsia"/>
          <w:szCs w:val="21"/>
        </w:rPr>
        <w:t xml:space="preserve">日期：       </w:t>
      </w:r>
    </w:p>
    <w:p>
      <w:pPr>
        <w:spacing w:afterLines="25" w:line="560" w:lineRule="exact"/>
        <w:ind w:firstLine="420" w:firstLineChars="200"/>
        <w:jc w:val="center"/>
        <w:rPr>
          <w:rFonts w:cs="Times New Roman" w:asciiTheme="minorEastAsia" w:hAnsiTheme="minorEastAsia"/>
          <w:szCs w:val="24"/>
        </w:rPr>
      </w:pPr>
    </w:p>
    <w:p>
      <w:pPr>
        <w:spacing w:afterLines="25" w:line="560" w:lineRule="exact"/>
        <w:ind w:firstLine="420" w:firstLineChars="200"/>
        <w:jc w:val="center"/>
        <w:rPr>
          <w:rFonts w:cs="Times New Roman" w:asciiTheme="minorEastAsia" w:hAnsiTheme="minorEastAsia"/>
          <w:szCs w:val="24"/>
        </w:rPr>
      </w:pPr>
    </w:p>
    <w:p>
      <w:pPr>
        <w:spacing w:afterLines="25" w:line="300" w:lineRule="auto"/>
        <w:ind w:firstLine="422" w:firstLineChars="200"/>
        <w:rPr>
          <w:rFonts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pPr>
        <w:spacing w:afterLines="25" w:line="300" w:lineRule="auto"/>
        <w:ind w:firstLine="420" w:firstLineChars="200"/>
        <w:rPr>
          <w:rFonts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afterLines="25" w:line="300" w:lineRule="auto"/>
        <w:ind w:firstLine="482" w:firstLineChars="200"/>
        <w:jc w:val="center"/>
        <w:outlineLvl w:val="4"/>
        <w:rPr>
          <w:rFonts w:ascii="Arial" w:hAnsi="Arial" w:eastAsia="宋体" w:cs="Times New Roman"/>
          <w:b/>
          <w:sz w:val="24"/>
          <w:szCs w:val="24"/>
        </w:rPr>
      </w:pPr>
      <w:r>
        <w:rPr>
          <w:rFonts w:hint="eastAsia" w:ascii="宋体" w:hAnsi="宋体" w:eastAsia="宋体" w:cs="Times New Roman"/>
          <w:b/>
          <w:sz w:val="24"/>
          <w:szCs w:val="24"/>
        </w:rPr>
        <w:t>③</w:t>
      </w:r>
      <w:r>
        <w:rPr>
          <w:rFonts w:hint="eastAsia" w:ascii="Arial" w:hAnsi="Arial" w:eastAsia="宋体" w:cs="Times New Roman"/>
          <w:b/>
          <w:sz w:val="24"/>
          <w:szCs w:val="24"/>
        </w:rPr>
        <w:t>监狱企业声明函（服务）</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本投标人郑重声明，根据《财政部司法部关于政府采购支持监狱企业发展有关问题的通知》（财库〔</w:t>
      </w:r>
      <w:r>
        <w:rPr>
          <w:rFonts w:ascii="宋体" w:hAnsi="宋体" w:eastAsia="宋体" w:cs="Times New Roman"/>
          <w:szCs w:val="21"/>
        </w:rPr>
        <w:t>2014</w:t>
      </w:r>
      <w:r>
        <w:rPr>
          <w:rFonts w:hint="eastAsia" w:ascii="宋体" w:hAnsi="宋体" w:eastAsia="宋体" w:cs="Times New Roman"/>
          <w:szCs w:val="21"/>
        </w:rPr>
        <w:t>〕</w:t>
      </w:r>
      <w:r>
        <w:rPr>
          <w:rFonts w:ascii="宋体" w:hAnsi="宋体" w:eastAsia="宋体" w:cs="Times New Roman"/>
          <w:szCs w:val="21"/>
        </w:rPr>
        <w:t>68</w:t>
      </w:r>
      <w:r>
        <w:rPr>
          <w:rFonts w:hint="eastAsia" w:ascii="宋体" w:hAnsi="宋体" w:eastAsia="宋体" w:cs="Times New Roman"/>
          <w:szCs w:val="21"/>
        </w:rPr>
        <w:t>号）的规定，本投标人</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服务</w:t>
      </w:r>
      <w:r>
        <w:rPr>
          <w:rFonts w:ascii="宋体" w:hAnsi="宋体" w:eastAsia="宋体" w:cs="Times New Roman"/>
          <w:szCs w:val="21"/>
        </w:rPr>
        <w:t>全部由符合政策要求的</w:t>
      </w:r>
      <w:r>
        <w:rPr>
          <w:rFonts w:hint="eastAsia" w:ascii="宋体" w:hAnsi="宋体" w:eastAsia="宋体" w:cs="Times New Roman"/>
          <w:szCs w:val="21"/>
        </w:rPr>
        <w:t>监狱企业承接</w:t>
      </w:r>
      <w:r>
        <w:rPr>
          <w:rFonts w:ascii="宋体" w:hAnsi="宋体" w:eastAsia="宋体" w:cs="Times New Roman"/>
          <w:szCs w:val="21"/>
        </w:rPr>
        <w:t>。相关</w:t>
      </w:r>
      <w:r>
        <w:rPr>
          <w:rFonts w:hint="eastAsia" w:ascii="宋体" w:hAnsi="宋体" w:eastAsia="宋体" w:cs="Times New Roman"/>
          <w:szCs w:val="21"/>
        </w:rPr>
        <w:t>监狱企业</w:t>
      </w:r>
      <w:r>
        <w:rPr>
          <w:rFonts w:ascii="宋体" w:hAnsi="宋体" w:eastAsia="宋体" w:cs="Times New Roman"/>
          <w:szCs w:val="21"/>
        </w:rPr>
        <w:t>的具体情况如下：</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 xml:space="preserve"> （标的名称）</w:t>
      </w:r>
      <w:r>
        <w:rPr>
          <w:rFonts w:hint="eastAsia" w:ascii="宋体" w:hAnsi="宋体" w:eastAsia="宋体" w:cs="Times New Roman"/>
          <w:szCs w:val="21"/>
        </w:rPr>
        <w:t>，承接单位</w:t>
      </w:r>
      <w:r>
        <w:rPr>
          <w:rFonts w:ascii="宋体" w:hAnsi="宋体" w:eastAsia="宋体" w:cs="Times New Roman"/>
          <w:szCs w:val="21"/>
        </w:rPr>
        <w:t>为</w:t>
      </w:r>
      <w:r>
        <w:rPr>
          <w:rFonts w:ascii="宋体" w:hAnsi="宋体" w:eastAsia="宋体" w:cs="Times New Roman"/>
          <w:b/>
          <w:bCs/>
          <w:szCs w:val="21"/>
          <w:u w:val="single"/>
        </w:rPr>
        <w:t>（</w:t>
      </w:r>
      <w:r>
        <w:rPr>
          <w:rFonts w:hint="eastAsia" w:ascii="宋体" w:hAnsi="宋体" w:eastAsia="宋体" w:cs="Times New Roman"/>
          <w:b/>
          <w:bCs/>
          <w:szCs w:val="21"/>
          <w:u w:val="single"/>
        </w:rPr>
        <w:t>企业</w:t>
      </w:r>
      <w:r>
        <w:rPr>
          <w:rFonts w:ascii="宋体" w:hAnsi="宋体" w:eastAsia="宋体" w:cs="Times New Roman"/>
          <w:b/>
          <w:bCs/>
          <w:szCs w:val="21"/>
          <w:u w:val="single"/>
        </w:rPr>
        <w:t>名称）</w:t>
      </w:r>
      <w:r>
        <w:rPr>
          <w:rFonts w:ascii="宋体" w:hAnsi="宋体" w:eastAsia="宋体" w:cs="Times New Roman"/>
          <w:szCs w:val="21"/>
        </w:rPr>
        <w:t>，属于</w:t>
      </w:r>
      <w:r>
        <w:rPr>
          <w:rFonts w:hint="eastAsia" w:ascii="宋体" w:hAnsi="宋体" w:eastAsia="宋体" w:cs="Times New Roman"/>
          <w:b/>
          <w:bCs/>
          <w:szCs w:val="21"/>
          <w:u w:val="single"/>
        </w:rPr>
        <w:t>监狱企业</w:t>
      </w:r>
      <w:r>
        <w:rPr>
          <w:rFonts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2.</w:t>
      </w:r>
      <w:r>
        <w:rPr>
          <w:rFonts w:ascii="宋体" w:hAnsi="宋体" w:eastAsia="宋体" w:cs="Times New Roman"/>
          <w:b/>
          <w:bCs/>
          <w:szCs w:val="21"/>
          <w:u w:val="single"/>
        </w:rPr>
        <w:t xml:space="preserve"> （标的名称）</w:t>
      </w:r>
      <w:r>
        <w:rPr>
          <w:rFonts w:hint="eastAsia" w:ascii="宋体" w:hAnsi="宋体" w:eastAsia="宋体" w:cs="Times New Roman"/>
          <w:szCs w:val="21"/>
        </w:rPr>
        <w:t>，承接单位</w:t>
      </w:r>
      <w:r>
        <w:rPr>
          <w:rFonts w:ascii="宋体" w:hAnsi="宋体" w:eastAsia="宋体" w:cs="Times New Roman"/>
          <w:szCs w:val="21"/>
        </w:rPr>
        <w:t>为</w:t>
      </w:r>
      <w:r>
        <w:rPr>
          <w:rFonts w:ascii="宋体" w:hAnsi="宋体" w:eastAsia="宋体" w:cs="Times New Roman"/>
          <w:b/>
          <w:bCs/>
          <w:szCs w:val="21"/>
          <w:u w:val="single"/>
        </w:rPr>
        <w:t>（</w:t>
      </w:r>
      <w:r>
        <w:rPr>
          <w:rFonts w:hint="eastAsia" w:ascii="宋体" w:hAnsi="宋体" w:eastAsia="宋体" w:cs="Times New Roman"/>
          <w:b/>
          <w:bCs/>
          <w:szCs w:val="21"/>
          <w:u w:val="single"/>
        </w:rPr>
        <w:t>企业</w:t>
      </w:r>
      <w:r>
        <w:rPr>
          <w:rFonts w:ascii="宋体" w:hAnsi="宋体" w:eastAsia="宋体" w:cs="Times New Roman"/>
          <w:b/>
          <w:bCs/>
          <w:szCs w:val="21"/>
          <w:u w:val="single"/>
        </w:rPr>
        <w:t>名称）</w:t>
      </w:r>
      <w:r>
        <w:rPr>
          <w:rFonts w:ascii="宋体" w:hAnsi="宋体" w:eastAsia="宋体" w:cs="Times New Roman"/>
          <w:szCs w:val="21"/>
        </w:rPr>
        <w:t>，属于</w:t>
      </w:r>
      <w:r>
        <w:rPr>
          <w:rFonts w:hint="eastAsia" w:ascii="宋体" w:hAnsi="宋体" w:eastAsia="宋体" w:cs="Times New Roman"/>
          <w:b/>
          <w:bCs/>
          <w:szCs w:val="21"/>
          <w:u w:val="single"/>
        </w:rPr>
        <w:t>监狱企业</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本</w:t>
      </w:r>
      <w:r>
        <w:rPr>
          <w:rFonts w:hint="eastAsia" w:ascii="宋体" w:hAnsi="宋体" w:eastAsia="宋体" w:cs="Times New Roman"/>
          <w:szCs w:val="21"/>
        </w:rPr>
        <w:t>投标人</w:t>
      </w:r>
      <w:r>
        <w:rPr>
          <w:rFonts w:ascii="宋体" w:hAnsi="宋体" w:eastAsia="宋体" w:cs="Times New Roman"/>
          <w:szCs w:val="21"/>
        </w:rPr>
        <w:t>对上述声明内容的真实性负责。如有虚假，将依法承担相应责任。</w:t>
      </w:r>
    </w:p>
    <w:p>
      <w:pPr>
        <w:spacing w:afterLines="25" w:line="300" w:lineRule="auto"/>
        <w:ind w:firstLine="420" w:firstLineChars="200"/>
        <w:rPr>
          <w:rFonts w:ascii="宋体" w:hAnsi="宋体" w:eastAsia="宋体" w:cs="Times New Roman"/>
          <w:szCs w:val="21"/>
        </w:rPr>
      </w:pPr>
    </w:p>
    <w:p>
      <w:pPr>
        <w:spacing w:afterLines="25" w:line="300" w:lineRule="auto"/>
        <w:ind w:firstLine="422" w:firstLineChars="200"/>
        <w:rPr>
          <w:rFonts w:ascii="宋体" w:hAnsi="宋体" w:eastAsia="宋体" w:cs="Times New Roman"/>
          <w:b/>
          <w:color w:val="FF0000"/>
          <w:szCs w:val="21"/>
        </w:rPr>
      </w:pPr>
      <w:r>
        <w:rPr>
          <w:rFonts w:hint="eastAsia" w:ascii="宋体" w:hAnsi="宋体" w:eastAsia="宋体" w:cs="Times New Roman"/>
          <w:b/>
          <w:color w:val="FF0000"/>
          <w:szCs w:val="21"/>
        </w:rPr>
        <w:t>附：省级以上监狱管理局、戒毒管理局（含新疆生产建设兵团）出具的监狱企业证明文件。</w:t>
      </w:r>
    </w:p>
    <w:p>
      <w:pPr>
        <w:spacing w:afterLines="25" w:line="300" w:lineRule="auto"/>
        <w:rPr>
          <w:rFonts w:ascii="宋体" w:hAnsi="宋体" w:eastAsia="宋体" w:cs="Times New Roman"/>
          <w:szCs w:val="21"/>
        </w:rPr>
      </w:pPr>
    </w:p>
    <w:p>
      <w:pPr>
        <w:spacing w:afterLines="25" w:line="300" w:lineRule="auto"/>
        <w:rPr>
          <w:rFonts w:ascii="宋体" w:hAnsi="宋体" w:eastAsia="宋体" w:cs="Times New Roman"/>
          <w:szCs w:val="21"/>
        </w:rPr>
      </w:pPr>
    </w:p>
    <w:p>
      <w:pPr>
        <w:spacing w:afterLines="25" w:line="300" w:lineRule="auto"/>
        <w:rPr>
          <w:rFonts w:ascii="宋体" w:hAnsi="宋体" w:eastAsia="宋体" w:cs="Times New Roman"/>
          <w:szCs w:val="21"/>
        </w:rPr>
      </w:pP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投标人（投标单位）：       </w:t>
      </w:r>
    </w:p>
    <w:p>
      <w:pPr>
        <w:wordWrap w:val="0"/>
        <w:spacing w:afterLines="25" w:line="300" w:lineRule="auto"/>
        <w:ind w:firstLine="420" w:firstLineChars="200"/>
        <w:jc w:val="right"/>
        <w:rPr>
          <w:rFonts w:ascii="宋体" w:hAnsi="宋体" w:eastAsia="宋体" w:cs="Times New Roman"/>
          <w:szCs w:val="21"/>
        </w:rPr>
      </w:pPr>
      <w:r>
        <w:rPr>
          <w:rFonts w:hint="eastAsia" w:ascii="宋体" w:hAnsi="宋体" w:eastAsia="宋体" w:cs="Times New Roman"/>
          <w:szCs w:val="21"/>
        </w:rPr>
        <w:t xml:space="preserve">日期：       </w:t>
      </w: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afterLines="25" w:line="300" w:lineRule="auto"/>
        <w:ind w:firstLine="482" w:firstLineChars="200"/>
        <w:jc w:val="center"/>
        <w:outlineLvl w:val="4"/>
        <w:rPr>
          <w:rFonts w:ascii="宋体" w:hAnsi="宋体" w:eastAsia="宋体" w:cs="Times New Roman"/>
          <w:b/>
          <w:szCs w:val="21"/>
        </w:rPr>
      </w:pPr>
      <w:r>
        <w:rPr>
          <w:rFonts w:hint="eastAsia" w:ascii="宋体" w:hAnsi="宋体" w:eastAsia="宋体" w:cs="Times New Roman"/>
          <w:b/>
          <w:sz w:val="24"/>
          <w:szCs w:val="24"/>
        </w:rPr>
        <w:t>④</w:t>
      </w:r>
      <w:r>
        <w:rPr>
          <w:rFonts w:hint="eastAsia" w:ascii="宋体" w:hAnsi="宋体" w:eastAsia="宋体" w:cs="Times New Roman"/>
          <w:b/>
          <w:szCs w:val="21"/>
        </w:rPr>
        <w:t>含有优惠主体的联合体声明函</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u w:val="single"/>
        </w:rPr>
        <w:t xml:space="preserve">  （供应商名称、供应商名称）  </w:t>
      </w:r>
      <w:r>
        <w:rPr>
          <w:rFonts w:hint="eastAsia" w:ascii="宋体" w:hAnsi="宋体" w:eastAsia="宋体" w:cs="Times New Roman"/>
          <w:szCs w:val="21"/>
        </w:rPr>
        <w:t>共同组成联合体（详见联合体协议）。本联合体</w:t>
      </w:r>
      <w:r>
        <w:rPr>
          <w:rFonts w:ascii="宋体" w:hAnsi="宋体" w:eastAsia="宋体" w:cs="Times New Roman"/>
          <w:szCs w:val="21"/>
        </w:rPr>
        <w:t>参加</w:t>
      </w:r>
      <w:r>
        <w:rPr>
          <w:rFonts w:ascii="宋体" w:hAnsi="宋体" w:eastAsia="宋体" w:cs="Times New Roman"/>
          <w:b/>
          <w:bCs/>
          <w:szCs w:val="21"/>
          <w:u w:val="single"/>
        </w:rPr>
        <w:t>（</w:t>
      </w:r>
      <w:r>
        <w:rPr>
          <w:rFonts w:hint="eastAsia" w:ascii="宋体" w:hAnsi="宋体" w:eastAsia="宋体" w:cs="Times New Roman"/>
          <w:b/>
          <w:bCs/>
          <w:szCs w:val="21"/>
          <w:u w:val="single"/>
        </w:rPr>
        <w:t>采购人</w:t>
      </w:r>
      <w:r>
        <w:rPr>
          <w:rFonts w:ascii="宋体" w:hAnsi="宋体" w:eastAsia="宋体" w:cs="Times New Roman"/>
          <w:b/>
          <w:bCs/>
          <w:szCs w:val="21"/>
          <w:u w:val="single"/>
        </w:rPr>
        <w:t>名称）</w:t>
      </w:r>
      <w:r>
        <w:rPr>
          <w:rFonts w:ascii="宋体" w:hAnsi="宋体" w:eastAsia="宋体" w:cs="Times New Roman"/>
          <w:szCs w:val="21"/>
        </w:rPr>
        <w:t>的</w:t>
      </w:r>
      <w:r>
        <w:rPr>
          <w:rFonts w:ascii="宋体" w:hAnsi="宋体" w:eastAsia="宋体" w:cs="Times New Roman"/>
          <w:b/>
          <w:bCs/>
          <w:szCs w:val="21"/>
          <w:u w:val="single"/>
        </w:rPr>
        <w:t>（项目名称）</w:t>
      </w:r>
      <w:r>
        <w:rPr>
          <w:rFonts w:ascii="宋体" w:hAnsi="宋体" w:eastAsia="宋体" w:cs="Times New Roman"/>
          <w:szCs w:val="21"/>
        </w:rPr>
        <w:t>采购活动</w:t>
      </w:r>
      <w:r>
        <w:rPr>
          <w:rFonts w:hint="eastAsia" w:ascii="宋体" w:hAnsi="宋体" w:eastAsia="宋体" w:cs="Times New Roman"/>
          <w:szCs w:val="21"/>
        </w:rPr>
        <w:t>，郑重声明：</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ascii="宋体" w:hAnsi="宋体" w:eastAsia="宋体" w:cs="Times New Roman"/>
          <w:szCs w:val="21"/>
        </w:rPr>
        <w:t>，从业人员人，营业收入为万元，资产总额为万元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u w:val="single"/>
        </w:rPr>
      </w:pPr>
      <w:r>
        <w:rPr>
          <w:rFonts w:ascii="宋体" w:hAnsi="宋体" w:eastAsia="宋体" w:cs="Times New Roman"/>
          <w:szCs w:val="21"/>
        </w:rPr>
        <w:t>2.</w:t>
      </w:r>
      <w:r>
        <w:rPr>
          <w:rFonts w:ascii="宋体" w:hAnsi="宋体" w:eastAsia="宋体" w:cs="Times New Roman"/>
          <w:b/>
          <w:bCs/>
          <w:szCs w:val="21"/>
          <w:u w:val="single"/>
        </w:rPr>
        <w:t>（标的名称）</w:t>
      </w:r>
      <w:r>
        <w:rPr>
          <w:rFonts w:ascii="宋体" w:hAnsi="宋体" w:eastAsia="宋体" w:cs="Times New Roman"/>
          <w:szCs w:val="21"/>
        </w:rPr>
        <w:t>，属于</w:t>
      </w:r>
      <w:r>
        <w:rPr>
          <w:rFonts w:ascii="宋体" w:hAnsi="宋体" w:eastAsia="宋体" w:cs="Times New Roman"/>
          <w:b/>
          <w:bCs/>
          <w:szCs w:val="21"/>
          <w:u w:val="single"/>
        </w:rPr>
        <w:t>（</w:t>
      </w:r>
      <w:r>
        <w:rPr>
          <w:rFonts w:hint="eastAsia" w:ascii="宋体" w:hAnsi="宋体" w:eastAsia="宋体" w:cs="Times New Roman"/>
          <w:b/>
          <w:bCs/>
          <w:szCs w:val="21"/>
          <w:u w:val="single"/>
        </w:rPr>
        <w:t>招标</w:t>
      </w:r>
      <w:r>
        <w:rPr>
          <w:rFonts w:ascii="宋体" w:hAnsi="宋体" w:eastAsia="宋体" w:cs="Times New Roman"/>
          <w:b/>
          <w:bCs/>
          <w:szCs w:val="21"/>
          <w:u w:val="single"/>
        </w:rPr>
        <w:t xml:space="preserve">文件中明确的所属行业） </w:t>
      </w:r>
      <w:r>
        <w:rPr>
          <w:rFonts w:ascii="宋体" w:hAnsi="宋体" w:eastAsia="宋体" w:cs="Times New Roman"/>
          <w:szCs w:val="21"/>
        </w:rPr>
        <w:t>行业；</w:t>
      </w:r>
      <w:r>
        <w:rPr>
          <w:rFonts w:hint="eastAsia" w:ascii="宋体" w:hAnsi="宋体" w:eastAsia="宋体" w:cs="Times New Roman"/>
          <w:szCs w:val="21"/>
        </w:rPr>
        <w:t>承接企业</w:t>
      </w:r>
      <w:r>
        <w:rPr>
          <w:rFonts w:ascii="宋体" w:hAnsi="宋体" w:eastAsia="宋体" w:cs="Times New Roman"/>
          <w:szCs w:val="21"/>
        </w:rPr>
        <w:t>为</w:t>
      </w:r>
      <w:r>
        <w:rPr>
          <w:rFonts w:ascii="宋体" w:hAnsi="宋体" w:eastAsia="宋体" w:cs="Times New Roman"/>
          <w:b/>
          <w:bCs/>
          <w:szCs w:val="21"/>
          <w:u w:val="single"/>
        </w:rPr>
        <w:t>（企业名称）</w:t>
      </w:r>
      <w:r>
        <w:rPr>
          <w:rFonts w:ascii="宋体" w:hAnsi="宋体" w:eastAsia="宋体" w:cs="Times New Roman"/>
          <w:szCs w:val="21"/>
        </w:rPr>
        <w:t>，从业人员人，营业收入为万元，资产总额为万元 ，属于</w:t>
      </w:r>
      <w:r>
        <w:rPr>
          <w:rFonts w:ascii="宋体" w:hAnsi="宋体" w:eastAsia="宋体" w:cs="Times New Roman"/>
          <w:b/>
          <w:bCs/>
          <w:szCs w:val="21"/>
          <w:u w:val="single"/>
        </w:rPr>
        <w:t>（</w:t>
      </w:r>
      <w:r>
        <w:rPr>
          <w:rFonts w:hint="eastAsia" w:ascii="宋体" w:hAnsi="宋体" w:eastAsia="宋体" w:cs="Times New Roman"/>
          <w:b/>
          <w:bCs/>
          <w:szCs w:val="21"/>
          <w:u w:val="single"/>
        </w:rPr>
        <w:t>小型企业、微型企业、监狱企业、残疾人福利性单位</w:t>
      </w:r>
      <w:r>
        <w:rPr>
          <w:rFonts w:ascii="宋体" w:hAnsi="宋体" w:eastAsia="宋体" w:cs="Times New Roman"/>
          <w:b/>
          <w:bCs/>
          <w:szCs w:val="21"/>
          <w:u w:val="single"/>
        </w:rPr>
        <w:t>）</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ascii="宋体" w:hAnsi="宋体" w:eastAsia="宋体" w:cs="Times New Roman"/>
          <w:szCs w:val="21"/>
        </w:rPr>
        <w:t xml:space="preserve">…… </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上述优惠主体均符合《</w:t>
      </w:r>
      <w:r>
        <w:rPr>
          <w:rFonts w:ascii="宋体" w:hAnsi="宋体" w:eastAsia="宋体" w:cs="Times New Roman"/>
          <w:szCs w:val="21"/>
        </w:rPr>
        <w:t>政府采购促进中小企业发展管理办法</w:t>
      </w:r>
      <w:r>
        <w:rPr>
          <w:rFonts w:hint="eastAsia" w:ascii="宋体" w:hAnsi="宋体" w:eastAsia="宋体" w:cs="Times New Roman"/>
          <w:szCs w:val="21"/>
        </w:rPr>
        <w:t>》（</w:t>
      </w:r>
      <w:r>
        <w:rPr>
          <w:rFonts w:ascii="宋体" w:hAnsi="宋体" w:eastAsia="宋体" w:cs="Times New Roman"/>
          <w:szCs w:val="21"/>
        </w:rPr>
        <w:t>财库〔2020〕46号</w:t>
      </w:r>
      <w:r>
        <w:rPr>
          <w:rFonts w:hint="eastAsia" w:ascii="宋体" w:hAnsi="宋体" w:eastAsia="宋体" w:cs="Times New Roman"/>
          <w:szCs w:val="21"/>
        </w:rPr>
        <w:t>）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Times New Roman"/>
          <w:szCs w:val="21"/>
          <w:u w:val="single"/>
        </w:rPr>
        <w:t>_____</w:t>
      </w:r>
      <w:r>
        <w:rPr>
          <w:rFonts w:hint="eastAsia" w:ascii="宋体" w:hAnsi="宋体" w:eastAsia="宋体" w:cs="Times New Roman"/>
          <w:szCs w:val="21"/>
        </w:rPr>
        <w:t>%。</w:t>
      </w:r>
    </w:p>
    <w:p>
      <w:pPr>
        <w:spacing w:afterLines="25" w:line="300" w:lineRule="auto"/>
        <w:ind w:firstLine="420" w:firstLineChars="200"/>
        <w:rPr>
          <w:rFonts w:ascii="宋体" w:hAnsi="宋体" w:eastAsia="宋体" w:cs="Times New Roman"/>
          <w:szCs w:val="21"/>
        </w:rPr>
      </w:pPr>
      <w:r>
        <w:rPr>
          <w:rFonts w:hint="eastAsia" w:ascii="宋体" w:hAnsi="宋体" w:eastAsia="宋体" w:cs="Times New Roman"/>
          <w:szCs w:val="21"/>
        </w:rPr>
        <w:t>本联合体对上述声明的真实性负责。如有虚假，将依法承担相应责任。</w:t>
      </w:r>
    </w:p>
    <w:p>
      <w:pPr>
        <w:spacing w:afterLines="25" w:line="300" w:lineRule="auto"/>
        <w:rPr>
          <w:rFonts w:ascii="宋体" w:hAnsi="宋体" w:eastAsia="宋体" w:cs="Times New Roman"/>
          <w:szCs w:val="21"/>
        </w:rPr>
      </w:pPr>
    </w:p>
    <w:p>
      <w:pPr>
        <w:spacing w:afterLines="25" w:line="300" w:lineRule="auto"/>
        <w:rPr>
          <w:rFonts w:ascii="宋体" w:hAnsi="宋体" w:eastAsia="宋体" w:cs="Times New Roman"/>
          <w:szCs w:val="21"/>
        </w:rPr>
      </w:pPr>
      <w:r>
        <w:rPr>
          <w:rFonts w:hint="eastAsia" w:ascii="宋体" w:hAnsi="宋体" w:eastAsia="宋体" w:cs="Times New Roman"/>
          <w:szCs w:val="21"/>
        </w:rPr>
        <w:t xml:space="preserve">供应商名称：                              供应商名称： </w:t>
      </w:r>
    </w:p>
    <w:p>
      <w:pPr>
        <w:spacing w:afterLines="25" w:line="300" w:lineRule="auto"/>
        <w:rPr>
          <w:rFonts w:ascii="宋体" w:hAnsi="宋体" w:eastAsia="宋体" w:cs="Times New Roman"/>
          <w:szCs w:val="21"/>
        </w:rPr>
      </w:pPr>
      <w:r>
        <w:rPr>
          <w:rFonts w:hint="eastAsia" w:ascii="宋体" w:hAnsi="宋体" w:eastAsia="宋体" w:cs="Times New Roman"/>
          <w:szCs w:val="21"/>
        </w:rPr>
        <w:t xml:space="preserve">日期：                                    日期： </w:t>
      </w:r>
    </w:p>
    <w:p>
      <w:pPr>
        <w:spacing w:afterLines="25" w:line="300" w:lineRule="auto"/>
        <w:rPr>
          <w:rFonts w:ascii="Arial" w:hAnsi="Arial" w:eastAsia="宋体" w:cs="Times New Roman"/>
          <w:szCs w:val="24"/>
        </w:rPr>
      </w:pPr>
    </w:p>
    <w:p>
      <w:pPr>
        <w:spacing w:afterLines="25" w:line="300" w:lineRule="auto"/>
        <w:jc w:val="left"/>
        <w:rPr>
          <w:rFonts w:ascii="宋体" w:hAnsi="宋体" w:eastAsia="宋体" w:cs="Times New Roman"/>
          <w:szCs w:val="21"/>
        </w:rPr>
      </w:pPr>
      <w:r>
        <w:rPr>
          <w:rFonts w:hint="eastAsia" w:ascii="宋体" w:hAnsi="宋体" w:eastAsia="宋体" w:cs="Times New Roman"/>
          <w:szCs w:val="21"/>
        </w:rPr>
        <w:t xml:space="preserve">供应商名称：       </w:t>
      </w:r>
    </w:p>
    <w:p>
      <w:pPr>
        <w:wordWrap w:val="0"/>
        <w:spacing w:afterLines="25" w:line="300" w:lineRule="auto"/>
        <w:jc w:val="left"/>
        <w:rPr>
          <w:rFonts w:ascii="宋体" w:hAnsi="宋体" w:eastAsia="宋体" w:cs="Times New Roman"/>
          <w:szCs w:val="21"/>
        </w:rPr>
      </w:pPr>
      <w:r>
        <w:rPr>
          <w:rFonts w:hint="eastAsia" w:ascii="宋体" w:hAnsi="宋体" w:eastAsia="宋体" w:cs="Times New Roman"/>
          <w:szCs w:val="21"/>
        </w:rPr>
        <w:t xml:space="preserve">日期：       </w:t>
      </w:r>
    </w:p>
    <w:p>
      <w:pPr>
        <w:spacing w:afterLines="25" w:line="300" w:lineRule="auto"/>
        <w:rPr>
          <w:rFonts w:ascii="Arial" w:hAnsi="Arial" w:eastAsia="宋体" w:cs="Times New Roman"/>
          <w:szCs w:val="24"/>
        </w:rPr>
      </w:pPr>
    </w:p>
    <w:p>
      <w:pPr>
        <w:spacing w:afterLines="25" w:line="300" w:lineRule="auto"/>
        <w:rPr>
          <w:rFonts w:ascii="Arial" w:hAnsi="Arial" w:eastAsia="宋体" w:cs="Times New Roman"/>
          <w:szCs w:val="24"/>
        </w:rPr>
      </w:pPr>
    </w:p>
    <w:p>
      <w:pPr>
        <w:spacing w:afterLines="25" w:line="300" w:lineRule="auto"/>
        <w:rPr>
          <w:rFonts w:ascii="Arial" w:hAnsi="Arial" w:eastAsia="宋体" w:cs="Times New Roman"/>
          <w:szCs w:val="24"/>
        </w:rPr>
      </w:pPr>
    </w:p>
    <w:p>
      <w:pPr>
        <w:snapToGrid w:val="0"/>
        <w:spacing w:afterLines="25" w:line="300" w:lineRule="auto"/>
        <w:ind w:firstLine="482" w:firstLineChars="200"/>
        <w:rPr>
          <w:rFonts w:ascii="Arial" w:hAnsi="Arial" w:eastAsia="宋体" w:cs="Arial"/>
          <w:sz w:val="24"/>
          <w:szCs w:val="24"/>
          <w:u w:val="single"/>
        </w:rPr>
      </w:pPr>
      <w:r>
        <w:rPr>
          <w:rFonts w:hint="eastAsia" w:ascii="Arial" w:hAnsi="Arial" w:eastAsia="宋体" w:cs="Times New Roman"/>
          <w:b/>
          <w:sz w:val="24"/>
          <w:szCs w:val="24"/>
          <w:highlight w:val="yellow"/>
        </w:rPr>
        <w:t>说明：本声明函仅针对允许联合体投标的项目（联合体数量上限以资格要求为准），非联合体投标的供应商或不符合优惠政策的供应商无需提供。</w:t>
      </w:r>
      <w:r>
        <w:rPr>
          <w:rFonts w:hint="eastAsia" w:ascii="Arial" w:hAnsi="Arial" w:eastAsia="宋体" w:cs="Times New Roman"/>
          <w:sz w:val="24"/>
          <w:szCs w:val="24"/>
          <w:highlight w:val="yellow"/>
        </w:rPr>
        <w:t>符合条件的供应商，请仔细填写声明函中需填写内容，</w:t>
      </w:r>
      <w:r>
        <w:rPr>
          <w:rFonts w:hint="eastAsia" w:ascii="Arial" w:hAnsi="Arial" w:eastAsia="宋体" w:cs="Times New Roman"/>
          <w:b/>
          <w:sz w:val="24"/>
          <w:szCs w:val="24"/>
          <w:highlight w:val="yellow"/>
        </w:rPr>
        <w:t>供应商可根据自身联合体数量及优惠主体类型进行调整本声明函格式</w:t>
      </w:r>
      <w:r>
        <w:rPr>
          <w:rFonts w:hint="eastAsia" w:ascii="Arial" w:hAnsi="Arial" w:eastAsia="宋体" w:cs="Times New Roman"/>
          <w:sz w:val="24"/>
          <w:szCs w:val="24"/>
          <w:highlight w:val="yellow"/>
        </w:rPr>
        <w:t>，</w:t>
      </w:r>
      <w:r>
        <w:rPr>
          <w:rFonts w:hint="eastAsia" w:ascii="Arial" w:hAnsi="Arial" w:eastAsia="宋体" w:cs="Times New Roman"/>
          <w:b/>
          <w:sz w:val="24"/>
          <w:szCs w:val="24"/>
          <w:highlight w:val="yellow"/>
        </w:rPr>
        <w:t>如内容填写不全</w:t>
      </w:r>
      <w:r>
        <w:rPr>
          <w:rFonts w:hint="eastAsia" w:ascii="Arial" w:hAnsi="Arial" w:eastAsia="宋体" w:cs="Times New Roman"/>
          <w:sz w:val="24"/>
          <w:szCs w:val="24"/>
          <w:highlight w:val="yellow"/>
        </w:rPr>
        <w:t>，将承担相关不利后果（如声明函被认定无效等）。</w:t>
      </w: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5.经验情况表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804"/>
        <w:gridCol w:w="1854"/>
        <w:gridCol w:w="2287"/>
        <w:gridCol w:w="1336"/>
        <w:gridCol w:w="1392"/>
        <w:gridCol w:w="144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pPr>
              <w:snapToGrid w:val="0"/>
              <w:jc w:val="center"/>
              <w:rPr>
                <w:rFonts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p>
          <w:p>
            <w:pPr>
              <w:snapToGrid w:val="0"/>
              <w:jc w:val="center"/>
              <w:rPr>
                <w:rFonts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pPr>
              <w:snapToGrid w:val="0"/>
              <w:jc w:val="center"/>
              <w:rPr>
                <w:rFonts w:ascii="宋体" w:hAnsi="宋体" w:eastAsia="宋体" w:cs="Times New Roman"/>
                <w:b/>
                <w:sz w:val="24"/>
                <w:szCs w:val="24"/>
              </w:rPr>
            </w:pPr>
            <w:r>
              <w:rPr>
                <w:rFonts w:hint="eastAsia" w:ascii="宋体" w:hAnsi="宋体" w:eastAsia="宋体" w:cs="Times New Roman"/>
                <w:b/>
                <w:sz w:val="24"/>
                <w:szCs w:val="24"/>
              </w:rPr>
              <w:t>用户单位</w:t>
            </w:r>
            <w:r>
              <w:rPr>
                <w:rFonts w:ascii="宋体" w:hAnsi="宋体" w:eastAsia="宋体" w:cs="Times New Roman"/>
                <w:b/>
                <w:sz w:val="24"/>
                <w:szCs w:val="24"/>
              </w:rPr>
              <w:br w:type="textWrapping"/>
            </w:r>
            <w:r>
              <w:rPr>
                <w:rFonts w:hint="eastAsia" w:ascii="宋体" w:hAnsi="宋体" w:eastAsia="宋体" w:cs="Times New Roman"/>
                <w:b/>
                <w:sz w:val="24"/>
                <w:szCs w:val="24"/>
              </w:rPr>
              <w:t>联系电话</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pPr>
              <w:spacing w:afterLines="25" w:line="300" w:lineRule="auto"/>
              <w:rPr>
                <w:rFonts w:ascii="宋体" w:hAnsi="宋体" w:eastAsia="宋体" w:cs="Arial"/>
                <w:sz w:val="24"/>
                <w:szCs w:val="24"/>
              </w:rPr>
            </w:pPr>
          </w:p>
        </w:tc>
        <w:tc>
          <w:tcPr>
            <w:tcW w:w="1017" w:type="pct"/>
          </w:tcPr>
          <w:p>
            <w:pPr>
              <w:spacing w:afterLines="25" w:line="300" w:lineRule="auto"/>
              <w:rPr>
                <w:rFonts w:ascii="宋体" w:hAnsi="宋体" w:eastAsia="宋体" w:cs="Arial"/>
                <w:sz w:val="24"/>
                <w:szCs w:val="24"/>
              </w:rPr>
            </w:pPr>
          </w:p>
        </w:tc>
        <w:tc>
          <w:tcPr>
            <w:tcW w:w="1255" w:type="pct"/>
          </w:tcPr>
          <w:p>
            <w:pPr>
              <w:spacing w:afterLines="25" w:line="300" w:lineRule="auto"/>
              <w:rPr>
                <w:rFonts w:ascii="宋体" w:hAnsi="宋体" w:eastAsia="宋体" w:cs="Arial"/>
                <w:sz w:val="24"/>
                <w:szCs w:val="24"/>
              </w:rPr>
            </w:pPr>
          </w:p>
        </w:tc>
        <w:tc>
          <w:tcPr>
            <w:tcW w:w="733" w:type="pct"/>
          </w:tcPr>
          <w:p>
            <w:pPr>
              <w:spacing w:afterLines="25" w:line="300" w:lineRule="auto"/>
              <w:rPr>
                <w:rFonts w:ascii="宋体" w:hAnsi="宋体" w:eastAsia="宋体" w:cs="Arial"/>
                <w:sz w:val="24"/>
                <w:szCs w:val="24"/>
              </w:rPr>
            </w:pPr>
          </w:p>
        </w:tc>
        <w:tc>
          <w:tcPr>
            <w:tcW w:w="764" w:type="pct"/>
          </w:tcPr>
          <w:p>
            <w:pPr>
              <w:spacing w:afterLines="25" w:line="300" w:lineRule="auto"/>
              <w:rPr>
                <w:rFonts w:ascii="宋体" w:hAnsi="宋体" w:eastAsia="宋体" w:cs="Arial"/>
                <w:sz w:val="24"/>
                <w:szCs w:val="24"/>
              </w:rPr>
            </w:pPr>
          </w:p>
        </w:tc>
        <w:tc>
          <w:tcPr>
            <w:tcW w:w="790" w:type="pct"/>
          </w:tcPr>
          <w:p>
            <w:pPr>
              <w:spacing w:afterLines="25" w:line="300" w:lineRule="auto"/>
              <w:rPr>
                <w:rFonts w:ascii="宋体" w:hAnsi="宋体" w:eastAsia="宋体" w:cs="Arial"/>
                <w:sz w:val="24"/>
                <w:szCs w:val="24"/>
              </w:rPr>
            </w:pPr>
          </w:p>
        </w:tc>
      </w:tr>
    </w:tbl>
    <w:p>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pStyle w:val="9"/>
        <w:rPr>
          <w:rFonts w:ascii="Arial" w:hAnsi="Arial" w:eastAsia="宋体" w:cs="Times New Roman"/>
          <w:szCs w:val="24"/>
        </w:rPr>
      </w:pPr>
    </w:p>
    <w:p>
      <w:pPr>
        <w:pStyle w:val="10"/>
      </w:pPr>
    </w:p>
    <w:p>
      <w:pPr>
        <w:spacing w:afterLines="25" w:line="300" w:lineRule="auto"/>
        <w:rPr>
          <w:rFonts w:ascii="Arial" w:hAnsi="Arial" w:eastAsia="宋体" w:cs="Times New Roman"/>
          <w:sz w:val="24"/>
          <w:szCs w:val="24"/>
        </w:rPr>
      </w:pPr>
    </w:p>
    <w:p>
      <w:pPr>
        <w:spacing w:afterLines="25" w:line="300" w:lineRule="auto"/>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spacing w:afterLines="25" w:line="300" w:lineRule="auto"/>
        <w:jc w:val="center"/>
        <w:rPr>
          <w:rFonts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pStyle w:val="9"/>
        <w:rPr>
          <w:rFonts w:ascii="Arial" w:hAnsi="Arial" w:eastAsia="宋体" w:cs="Times New Roman"/>
          <w:szCs w:val="24"/>
        </w:rPr>
      </w:pPr>
    </w:p>
    <w:p>
      <w:pPr>
        <w:pStyle w:val="10"/>
        <w:rPr>
          <w:rFonts w:ascii="Arial" w:hAnsi="Arial" w:eastAsia="宋体" w:cs="Times New Roman"/>
          <w:b/>
          <w:szCs w:val="24"/>
        </w:rPr>
      </w:pPr>
    </w:p>
    <w:p>
      <w:pPr>
        <w:pStyle w:val="10"/>
        <w:rPr>
          <w:rFonts w:ascii="Arial" w:hAnsi="Arial" w:eastAsia="宋体" w:cs="Times New Roman"/>
          <w:b/>
          <w:szCs w:val="24"/>
        </w:rPr>
      </w:pPr>
    </w:p>
    <w:p>
      <w:pPr>
        <w:pStyle w:val="10"/>
        <w:rPr>
          <w:rFonts w:ascii="Arial" w:hAnsi="Arial" w:eastAsia="宋体" w:cs="Times New Roman"/>
          <w:b/>
          <w:szCs w:val="24"/>
        </w:rPr>
      </w:pP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pPr>
        <w:spacing w:afterLines="25" w:line="300" w:lineRule="auto"/>
        <w:rPr>
          <w:rFonts w:ascii="Arial" w:hAnsi="Arial" w:eastAsia="宋体" w:cs="Times New Roman"/>
          <w:szCs w:val="24"/>
        </w:rPr>
      </w:pPr>
    </w:p>
    <w:p>
      <w:pPr>
        <w:spacing w:line="300" w:lineRule="auto"/>
        <w:ind w:left="140"/>
        <w:jc w:val="center"/>
        <w:rPr>
          <w:rFonts w:ascii="Arial" w:hAnsi="Arial" w:eastAsia="宋体" w:cs="Arial"/>
          <w:b/>
          <w:sz w:val="30"/>
          <w:szCs w:val="30"/>
        </w:rPr>
      </w:pPr>
    </w:p>
    <w:p>
      <w:pPr>
        <w:spacing w:line="300" w:lineRule="auto"/>
        <w:ind w:left="140"/>
        <w:jc w:val="center"/>
        <w:rPr>
          <w:rFonts w:ascii="Arial" w:hAnsi="Arial" w:eastAsia="宋体" w:cs="Arial"/>
          <w:b/>
          <w:sz w:val="24"/>
          <w:szCs w:val="24"/>
        </w:rPr>
      </w:pPr>
      <w:r>
        <w:rPr>
          <w:rFonts w:hint="eastAsia" w:ascii="Arial" w:hAnsi="Arial" w:eastAsia="宋体" w:cs="Arial"/>
          <w:b/>
          <w:sz w:val="24"/>
          <w:szCs w:val="24"/>
        </w:rPr>
        <w:t>法定代表人（负责人）证明书</w:t>
      </w:r>
    </w:p>
    <w:p>
      <w:pPr>
        <w:spacing w:line="300" w:lineRule="auto"/>
        <w:ind w:left="140"/>
        <w:jc w:val="center"/>
        <w:rPr>
          <w:rFonts w:ascii="Arial" w:hAnsi="Arial" w:eastAsia="宋体" w:cs="Arial"/>
          <w:b/>
          <w:sz w:val="24"/>
          <w:szCs w:val="24"/>
        </w:rPr>
      </w:pPr>
    </w:p>
    <w:p>
      <w:pPr>
        <w:spacing w:line="300" w:lineRule="auto"/>
        <w:ind w:left="140"/>
        <w:rPr>
          <w:rFonts w:asciiTheme="minorEastAsia" w:hAnsiTheme="minorEastAsia"/>
          <w:szCs w:val="21"/>
        </w:rPr>
      </w:pPr>
      <w:r>
        <w:rPr>
          <w:rFonts w:hint="eastAsia" w:cs="Arial" w:asciiTheme="minorEastAsia" w:hAnsiTheme="minorEastAsia"/>
          <w:sz w:val="24"/>
          <w:szCs w:val="24"/>
          <w:u w:val="single"/>
        </w:rPr>
        <w:t xml:space="preserve">  （姓名）  </w:t>
      </w:r>
      <w:r>
        <w:rPr>
          <w:rFonts w:hint="eastAsia" w:asciiTheme="minorEastAsia" w:hAnsiTheme="minorEastAsia"/>
          <w:szCs w:val="21"/>
        </w:rPr>
        <w:t>同志，现任我单位职务，为我单位法定代表人（负责人）。</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身份证号： </w:t>
      </w:r>
    </w:p>
    <w:p>
      <w:pPr>
        <w:spacing w:line="300" w:lineRule="auto"/>
        <w:ind w:left="140"/>
        <w:rPr>
          <w:rFonts w:asciiTheme="minorEastAsia" w:hAnsiTheme="minorEastAsia"/>
          <w:szCs w:val="21"/>
          <w:u w:val="single"/>
        </w:rPr>
      </w:pPr>
      <w:r>
        <w:rPr>
          <w:rFonts w:hint="eastAsia" w:asciiTheme="minorEastAsia" w:hAnsiTheme="minorEastAsia"/>
          <w:szCs w:val="21"/>
        </w:rPr>
        <w:t xml:space="preserve">联系电话：  </w:t>
      </w:r>
    </w:p>
    <w:p>
      <w:pPr>
        <w:spacing w:line="300" w:lineRule="auto"/>
        <w:ind w:left="140"/>
        <w:rPr>
          <w:rFonts w:cs="Arial" w:asciiTheme="minorEastAsia" w:hAnsiTheme="minorEastAsia"/>
          <w:b/>
          <w:sz w:val="24"/>
          <w:szCs w:val="24"/>
        </w:rPr>
      </w:pPr>
      <w:r>
        <w:rPr>
          <w:rFonts w:hint="eastAsia" w:asciiTheme="minorEastAsia" w:hAnsiTheme="minorEastAsia"/>
          <w:szCs w:val="21"/>
        </w:rPr>
        <w:t>特此证明。</w:t>
      </w:r>
    </w:p>
    <w:p>
      <w:pPr>
        <w:spacing w:line="300" w:lineRule="auto"/>
        <w:rPr>
          <w:rFonts w:ascii="Arial" w:hAnsi="Arial" w:eastAsia="宋体" w:cs="Times New Roman"/>
          <w:szCs w:val="21"/>
        </w:rPr>
      </w:pPr>
    </w:p>
    <w:p>
      <w:pPr>
        <w:spacing w:line="300" w:lineRule="auto"/>
        <w:rPr>
          <w:rFonts w:ascii="Arial" w:hAnsi="Arial" w:eastAsia="宋体" w:cs="Times New Roman"/>
          <w:szCs w:val="21"/>
        </w:rPr>
      </w:pPr>
      <w:r>
        <w:rPr>
          <w:rFonts w:hint="eastAsia" w:ascii="Arial" w:hAnsi="Arial" w:eastAsia="宋体" w:cs="Times New Roman"/>
          <w:szCs w:val="21"/>
        </w:rPr>
        <w:t>投标人（投标单位）：</w:t>
      </w:r>
    </w:p>
    <w:p>
      <w:pPr>
        <w:spacing w:line="300" w:lineRule="auto"/>
        <w:rPr>
          <w:rFonts w:ascii="Arial" w:hAnsi="Arial" w:eastAsia="宋体" w:cs="Times New Roman"/>
          <w:szCs w:val="21"/>
        </w:rPr>
      </w:pPr>
      <w:r>
        <w:rPr>
          <w:rFonts w:hint="eastAsia" w:ascii="Arial" w:hAnsi="Arial" w:eastAsia="宋体" w:cs="Times New Roman"/>
          <w:szCs w:val="21"/>
        </w:rPr>
        <w:t>日期：年月日</w:t>
      </w:r>
    </w:p>
    <w:p>
      <w:pPr>
        <w:spacing w:line="500" w:lineRule="exact"/>
        <w:rPr>
          <w:rFonts w:ascii="Arial" w:hAnsi="Arial" w:eastAsia="宋体" w:cs="Times New Roman"/>
          <w:szCs w:val="24"/>
        </w:rPr>
      </w:pPr>
    </w:p>
    <w:p>
      <w:pPr>
        <w:spacing w:line="500" w:lineRule="exact"/>
        <w:rPr>
          <w:rFonts w:ascii="宋体" w:hAnsi="宋体" w:eastAsia="宋体" w:cs="Times New Roman"/>
          <w:b/>
          <w:color w:val="FF0000"/>
          <w:sz w:val="32"/>
          <w:szCs w:val="32"/>
        </w:rPr>
      </w:pPr>
      <w:r>
        <w:rPr>
          <w:rFonts w:hint="eastAsia" w:ascii="宋体" w:hAnsi="宋体" w:eastAsia="宋体" w:cs="Times New Roman"/>
          <w:b/>
          <w:color w:val="FF0000"/>
          <w:sz w:val="32"/>
          <w:szCs w:val="32"/>
        </w:rPr>
        <w:t>★必须提供法定代表人（负责人）有效期内身份证的正反面扫描件（港澳台居民可提供往来通行证），非中国国籍管辖范围的，可提供公安部门认可的身份证明材料，否则将导致投标无效。</w:t>
      </w:r>
    </w:p>
    <w:p>
      <w:pPr>
        <w:spacing w:line="500" w:lineRule="exact"/>
        <w:rPr>
          <w:rFonts w:ascii="宋体" w:hAnsi="宋体" w:eastAsia="宋体" w:cs="Times New Roman"/>
          <w:b/>
          <w:color w:val="FF0000"/>
          <w:sz w:val="32"/>
          <w:szCs w:val="32"/>
        </w:rPr>
      </w:pP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备注：</w:t>
      </w:r>
    </w:p>
    <w:p>
      <w:pPr>
        <w:snapToGrid w:val="0"/>
        <w:rPr>
          <w:rFonts w:ascii="Arial" w:hAnsi="Arial" w:eastAsia="宋体" w:cs="Times New Roman"/>
          <w:sz w:val="28"/>
          <w:szCs w:val="28"/>
        </w:rPr>
      </w:pPr>
      <w:r>
        <w:rPr>
          <w:rFonts w:hint="eastAsia" w:ascii="宋体" w:hAnsi="宋体" w:eastAsia="宋体" w:cs="Times New Roman"/>
          <w:color w:val="FF0000"/>
          <w:sz w:val="28"/>
          <w:szCs w:val="28"/>
        </w:rPr>
        <w:t>1、如发现上述人员非投标人法定代表人（负责人），视同提供虚假资料，按投标无效处理，并将依法承担相应法律责任。</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2、法定代表人为投标人（企业事业单位、国家机关、社会团体）的主要行政负责人。</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3、本证明书要求投标供应商同时提供法定代表人（负责人）的身份证扫描件（正反两面）作为附件方为有效。</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4、本项目投标授权代表为法定代表人（负责人）的，无需提供《投标文件签署授权委托书》。</w:t>
      </w:r>
    </w:p>
    <w:p>
      <w:pPr>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5、内容必须填写真实、清楚，涂改无效，不得转让、买卖。</w:t>
      </w:r>
    </w:p>
    <w:p>
      <w:pPr>
        <w:spacing w:line="500" w:lineRule="exact"/>
        <w:ind w:firstLine="420" w:firstLineChars="200"/>
        <w:rPr>
          <w:rFonts w:ascii="Arial" w:hAnsi="Arial" w:eastAsia="宋体" w:cs="Times New Roman"/>
          <w:szCs w:val="24"/>
        </w:rPr>
      </w:pP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pPr>
        <w:spacing w:line="300" w:lineRule="auto"/>
        <w:jc w:val="center"/>
        <w:rPr>
          <w:rFonts w:ascii="Arial" w:hAnsi="Arial" w:eastAsia="宋体" w:cs="Times New Roman"/>
          <w:b/>
          <w:sz w:val="28"/>
          <w:szCs w:val="28"/>
        </w:rPr>
      </w:pPr>
    </w:p>
    <w:p>
      <w:pPr>
        <w:spacing w:line="360" w:lineRule="auto"/>
        <w:ind w:firstLine="420" w:firstLineChars="200"/>
        <w:rPr>
          <w:rFonts w:ascii="Arial" w:hAnsi="Arial" w:eastAsia="宋体" w:cs="Times New Roman"/>
          <w:szCs w:val="21"/>
        </w:rPr>
      </w:pPr>
      <w:r>
        <w:rPr>
          <w:rFonts w:hint="eastAsia" w:ascii="Arial" w:hAnsi="Arial" w:eastAsia="宋体" w:cs="Times New Roman"/>
          <w:szCs w:val="21"/>
        </w:rPr>
        <w:t>本授权委托书声明：我</w:t>
      </w:r>
      <w:r>
        <w:rPr>
          <w:rFonts w:hint="eastAsia" w:ascii="Arial" w:hAnsi="Arial" w:eastAsia="宋体" w:cs="Times New Roman"/>
          <w:szCs w:val="21"/>
          <w:u w:val="single"/>
        </w:rPr>
        <w:t>（姓名）</w:t>
      </w:r>
      <w:r>
        <w:rPr>
          <w:rFonts w:hint="eastAsia" w:ascii="Arial" w:hAnsi="Arial" w:eastAsia="宋体" w:cs="Times New Roman"/>
          <w:szCs w:val="21"/>
        </w:rPr>
        <w:t>系</w:t>
      </w:r>
      <w:r>
        <w:rPr>
          <w:rFonts w:hint="eastAsia" w:ascii="Arial" w:hAnsi="Arial" w:eastAsia="宋体" w:cs="Times New Roman"/>
          <w:szCs w:val="21"/>
          <w:u w:val="single"/>
        </w:rPr>
        <w:t>（投标人名称）</w:t>
      </w:r>
      <w:r>
        <w:rPr>
          <w:rFonts w:hint="eastAsia" w:ascii="Arial" w:hAnsi="Arial" w:eastAsia="宋体" w:cs="Times New Roman"/>
          <w:szCs w:val="21"/>
        </w:rPr>
        <w:t>的法定代表人（负责人），现授权委托</w:t>
      </w:r>
      <w:r>
        <w:rPr>
          <w:rFonts w:hint="eastAsia" w:ascii="Arial" w:hAnsi="Arial" w:eastAsia="宋体" w:cs="Times New Roman"/>
          <w:szCs w:val="21"/>
          <w:u w:val="single"/>
        </w:rPr>
        <w:t>（姓名）</w:t>
      </w:r>
      <w:r>
        <w:rPr>
          <w:rFonts w:hint="eastAsia" w:ascii="Arial" w:hAnsi="Arial" w:eastAsia="宋体" w:cs="Times New Roman"/>
          <w:szCs w:val="21"/>
        </w:rPr>
        <w:t>为我单位签署本项目已递交的投标文件的法定代表人（负责人）的授权委托代理人，代表我单位签署本项目的投标文件、参与项目投标、澄清投标文件、签署合同和处理与该项目有关的一切事务。在此过程中代理人所签署的一切文件及处理与该项目有关的一切事务，我均予以承认。</w:t>
      </w:r>
    </w:p>
    <w:p>
      <w:pPr>
        <w:spacing w:line="360" w:lineRule="auto"/>
        <w:ind w:firstLine="420" w:firstLineChars="200"/>
        <w:rPr>
          <w:rFonts w:ascii="Arial" w:hAnsi="Arial" w:eastAsia="宋体" w:cs="Times New Roman"/>
          <w:szCs w:val="21"/>
        </w:rPr>
      </w:pPr>
      <w:r>
        <w:rPr>
          <w:rFonts w:hint="eastAsia" w:ascii="Arial" w:hAnsi="Arial" w:eastAsia="宋体" w:cs="Times New Roman"/>
          <w:szCs w:val="21"/>
        </w:rPr>
        <w:t>授权书有效期内被授权人签署的所有文件不因授权的撤销而失效。被授权人无转委托权。</w:t>
      </w:r>
    </w:p>
    <w:p>
      <w:pPr>
        <w:spacing w:line="300" w:lineRule="auto"/>
        <w:rPr>
          <w:rFonts w:ascii="Arial" w:hAnsi="Arial" w:eastAsia="宋体" w:cs="Times New Roman"/>
          <w:szCs w:val="21"/>
        </w:rPr>
      </w:pP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代理人：性别：</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联系电话：手机：</w:t>
      </w:r>
    </w:p>
    <w:p>
      <w:pPr>
        <w:spacing w:line="360" w:lineRule="auto"/>
        <w:ind w:left="3360" w:leftChars="1600"/>
        <w:rPr>
          <w:rFonts w:ascii="Arial" w:hAnsi="Arial" w:eastAsia="宋体" w:cs="Times New Roman"/>
          <w:szCs w:val="21"/>
          <w:u w:val="single"/>
        </w:rPr>
      </w:pPr>
      <w:r>
        <w:rPr>
          <w:rFonts w:hint="eastAsia" w:ascii="Arial" w:hAnsi="Arial" w:eastAsia="宋体" w:cs="Times New Roman"/>
          <w:szCs w:val="21"/>
        </w:rPr>
        <w:t>身份证号码：职务：</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投标人（投标单位）：</w:t>
      </w:r>
    </w:p>
    <w:p>
      <w:pPr>
        <w:spacing w:line="360" w:lineRule="auto"/>
        <w:ind w:left="3360" w:leftChars="1600"/>
        <w:rPr>
          <w:rFonts w:ascii="Arial" w:hAnsi="Arial" w:eastAsia="宋体" w:cs="Times New Roman"/>
          <w:szCs w:val="21"/>
        </w:rPr>
      </w:pPr>
      <w:r>
        <w:rPr>
          <w:rFonts w:hint="eastAsia" w:ascii="Arial" w:hAnsi="Arial" w:eastAsia="宋体" w:cs="Times New Roman"/>
          <w:szCs w:val="21"/>
        </w:rPr>
        <w:t>授权委托日期：年月日</w:t>
      </w:r>
    </w:p>
    <w:p>
      <w:pPr>
        <w:spacing w:line="500" w:lineRule="exact"/>
        <w:ind w:firstLine="420" w:firstLineChars="200"/>
        <w:rPr>
          <w:rFonts w:ascii="Arial" w:hAnsi="Arial" w:eastAsia="宋体" w:cs="Times New Roman"/>
          <w:szCs w:val="24"/>
        </w:rPr>
      </w:pPr>
    </w:p>
    <w:p>
      <w:pPr>
        <w:spacing w:afterLines="25" w:line="300" w:lineRule="auto"/>
        <w:rPr>
          <w:rFonts w:ascii="宋体" w:hAnsi="宋体" w:eastAsia="宋体" w:cs="Times New Roman"/>
          <w:b/>
          <w:color w:val="FF0000"/>
          <w:sz w:val="32"/>
          <w:szCs w:val="32"/>
        </w:rPr>
      </w:pPr>
      <w:r>
        <w:rPr>
          <w:rFonts w:hint="eastAsia" w:ascii="宋体" w:hAnsi="宋体" w:eastAsia="宋体" w:cs="Times New Roman"/>
          <w:b/>
          <w:color w:val="FF0000"/>
          <w:sz w:val="32"/>
          <w:szCs w:val="32"/>
        </w:rPr>
        <w:t>★必须提供代理人有效期内身份证的正反面扫描件（港澳台居民可提供往来通行证），非中国国籍管辖范围的，可提供公安部门认可的身份证明材料，否则将导致投标无效。</w:t>
      </w:r>
    </w:p>
    <w:p>
      <w:pPr>
        <w:spacing w:afterLines="25" w:line="300" w:lineRule="auto"/>
        <w:rPr>
          <w:rFonts w:ascii="宋体" w:hAnsi="宋体" w:eastAsia="宋体" w:cs="Times New Roman"/>
          <w:b/>
          <w:color w:val="FF0000"/>
          <w:sz w:val="32"/>
          <w:szCs w:val="32"/>
        </w:rPr>
      </w:pPr>
    </w:p>
    <w:p>
      <w:pPr>
        <w:tabs>
          <w:tab w:val="left" w:pos="651"/>
        </w:tabs>
        <w:snapToGrid w:val="0"/>
        <w:rPr>
          <w:rFonts w:ascii="宋体" w:hAnsi="宋体" w:eastAsia="宋体" w:cs="Times New Roman"/>
          <w:color w:val="FF0000"/>
          <w:sz w:val="28"/>
          <w:szCs w:val="28"/>
        </w:rPr>
      </w:pPr>
      <w:r>
        <w:rPr>
          <w:rFonts w:hint="eastAsia" w:ascii="宋体" w:hAnsi="宋体" w:eastAsia="宋体" w:cs="Times New Roman"/>
          <w:color w:val="FF0000"/>
          <w:sz w:val="28"/>
          <w:szCs w:val="28"/>
        </w:rPr>
        <w:t>备注：</w:t>
      </w:r>
    </w:p>
    <w:p>
      <w:pPr>
        <w:tabs>
          <w:tab w:val="left" w:pos="651"/>
        </w:tabs>
        <w:snapToGrid w:val="0"/>
        <w:rPr>
          <w:rFonts w:ascii="宋体" w:hAnsi="宋体" w:eastAsia="宋体" w:cs="Times New Roman"/>
          <w:color w:val="FF0000"/>
          <w:sz w:val="32"/>
          <w:szCs w:val="32"/>
        </w:rPr>
      </w:pPr>
      <w:r>
        <w:rPr>
          <w:rFonts w:hint="eastAsia" w:ascii="宋体" w:hAnsi="宋体" w:eastAsia="宋体" w:cs="Times New Roman"/>
          <w:color w:val="FF0000"/>
          <w:sz w:val="28"/>
          <w:szCs w:val="28"/>
        </w:rPr>
        <w:t>1、本项目投标授权代表为法定代表人（负责人）的，无需提供《投标文件签署授权委托书》。</w:t>
      </w:r>
    </w:p>
    <w:p>
      <w:pPr>
        <w:tabs>
          <w:tab w:val="left" w:pos="651"/>
        </w:tabs>
        <w:snapToGrid w:val="0"/>
        <w:rPr>
          <w:rFonts w:ascii="宋体" w:hAnsi="宋体" w:eastAsia="宋体" w:cs="Times New Roman"/>
          <w:color w:val="FF0000"/>
          <w:sz w:val="28"/>
          <w:szCs w:val="28"/>
        </w:rPr>
      </w:pPr>
      <w:r>
        <w:rPr>
          <w:rFonts w:hint="eastAsia" w:ascii="宋体" w:hAnsi="宋体" w:eastAsia="宋体" w:cs="Times New Roman"/>
          <w:color w:val="FF0000"/>
          <w:sz w:val="32"/>
          <w:szCs w:val="32"/>
        </w:rPr>
        <w:t>2、</w:t>
      </w:r>
      <w:r>
        <w:rPr>
          <w:rFonts w:hint="eastAsia" w:ascii="宋体" w:hAnsi="宋体" w:eastAsia="宋体" w:cs="Times New Roman"/>
          <w:color w:val="FF0000"/>
          <w:sz w:val="28"/>
          <w:szCs w:val="28"/>
        </w:rPr>
        <w:t>投标授权代表须为投标供应商在职人员（在职期限应包括开标当日），且仅代表本投标供应商进行投标。投标文件中无需提供证明材料，采购人和招标机构保留对投标授权代表社保情况、劳动合同等进行调查核实的权利。如发现投标授权代表非投标人在职人员，视同提供虚假资料，按投标无效处理，并将依法承担相应法律责任。</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p>
    <w:p>
      <w:pPr>
        <w:snapToGrid w:val="0"/>
        <w:rPr>
          <w:rFonts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ascii="宋体" w:hAnsi="宋体" w:eastAsia="宋体" w:cs="Arial"/>
                <w:b/>
                <w:szCs w:val="21"/>
              </w:rPr>
            </w:pPr>
            <w:r>
              <w:rPr>
                <w:rFonts w:hint="eastAsia" w:ascii="宋体" w:hAnsi="宋体" w:eastAsia="宋体" w:cs="Arial"/>
                <w:b/>
                <w:szCs w:val="21"/>
              </w:rPr>
              <w:t>投标文件响应</w:t>
            </w:r>
          </w:p>
        </w:tc>
        <w:tc>
          <w:tcPr>
            <w:tcW w:w="1732" w:type="dxa"/>
          </w:tcPr>
          <w:p>
            <w:pPr>
              <w:spacing w:beforeLines="50"/>
              <w:jc w:val="center"/>
              <w:rPr>
                <w:rFonts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pPr>
              <w:spacing w:line="300" w:lineRule="auto"/>
              <w:jc w:val="center"/>
              <w:rPr>
                <w:rFonts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pPr>
              <w:spacing w:line="300" w:lineRule="auto"/>
              <w:jc w:val="center"/>
              <w:rPr>
                <w:rFonts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pPr>
              <w:spacing w:line="300" w:lineRule="auto"/>
              <w:jc w:val="center"/>
              <w:rPr>
                <w:rFonts w:ascii="宋体" w:hAnsi="宋体" w:eastAsia="宋体" w:cs="Times New Roman"/>
                <w:b/>
                <w:color w:val="FF0000"/>
                <w:kern w:val="0"/>
                <w:szCs w:val="21"/>
              </w:rPr>
            </w:pPr>
          </w:p>
        </w:tc>
      </w:tr>
    </w:tbl>
    <w:p>
      <w:pPr>
        <w:snapToGrid w:val="0"/>
        <w:rPr>
          <w:rFonts w:cs="Times New Roman" w:asciiTheme="minorEastAsia" w:hAnsiTheme="minorEastAsia"/>
          <w:sz w:val="24"/>
          <w:szCs w:val="24"/>
        </w:rPr>
      </w:pPr>
    </w:p>
    <w:p>
      <w:pPr>
        <w:snapToGrid w:val="0"/>
        <w:rPr>
          <w:rFonts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ascii="宋体" w:hAnsi="宋体" w:cs="宋体"/>
          <w:bCs/>
          <w:sz w:val="24"/>
          <w:szCs w:val="24"/>
        </w:rPr>
      </w:pPr>
      <w:r>
        <w:rPr>
          <w:rFonts w:hint="eastAsia" w:ascii="宋体" w:hAnsi="宋体" w:cs="宋体"/>
          <w:bCs/>
          <w:sz w:val="24"/>
          <w:szCs w:val="24"/>
        </w:rPr>
        <w:t>1、上表所列各项均为不可负偏离条款。</w:t>
      </w:r>
    </w:p>
    <w:p>
      <w:pPr>
        <w:spacing w:line="276" w:lineRule="auto"/>
        <w:ind w:firstLine="480" w:firstLineChars="200"/>
        <w:rPr>
          <w:rFonts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pPr>
        <w:spacing w:line="276" w:lineRule="auto"/>
        <w:ind w:firstLine="480" w:firstLineChars="200"/>
        <w:rPr>
          <w:rFonts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ascii="宋体" w:hAnsi="宋体" w:cs="宋体"/>
          <w:bCs/>
          <w:sz w:val="24"/>
          <w:szCs w:val="24"/>
        </w:rPr>
      </w:pPr>
      <w:r>
        <w:rPr>
          <w:rFonts w:hint="eastAsia" w:ascii="宋体" w:hAnsi="宋体" w:cs="宋体"/>
          <w:bCs/>
          <w:sz w:val="24"/>
          <w:szCs w:val="24"/>
        </w:rPr>
        <w:t>4、评审委员会有权对投标响应情况作出判断。</w:t>
      </w:r>
    </w:p>
    <w:p>
      <w:pPr>
        <w:spacing w:line="276" w:lineRule="auto"/>
        <w:ind w:firstLine="480" w:firstLineChars="200"/>
        <w:rPr>
          <w:rFonts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pPr>
        <w:spacing w:line="276" w:lineRule="auto"/>
        <w:ind w:firstLine="480" w:firstLineChars="200"/>
        <w:rPr>
          <w:rFonts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pPr>
        <w:snapToGrid w:val="0"/>
        <w:spacing w:afterLines="25" w:line="300" w:lineRule="auto"/>
        <w:rPr>
          <w:rFonts w:cs="Times New Roman" w:asciiTheme="majorEastAsia" w:hAnsiTheme="majorEastAsia" w:eastAsiaTheme="majorEastAsia"/>
          <w:b/>
          <w:color w:val="FF0000"/>
          <w:sz w:val="24"/>
          <w:szCs w:val="24"/>
        </w:rPr>
      </w:pPr>
    </w:p>
    <w:p>
      <w:pPr>
        <w:pStyle w:val="9"/>
        <w:rPr>
          <w:rFonts w:cs="Times New Roman" w:asciiTheme="majorEastAsia" w:hAnsiTheme="majorEastAsia" w:eastAsiaTheme="majorEastAsia"/>
          <w:color w:val="FF0000"/>
          <w:szCs w:val="24"/>
        </w:rPr>
      </w:pPr>
    </w:p>
    <w:p>
      <w:pPr>
        <w:pStyle w:val="10"/>
        <w:rPr>
          <w:rFonts w:cs="Times New Roman" w:asciiTheme="majorEastAsia" w:hAnsiTheme="majorEastAsia" w:eastAsiaTheme="majorEastAsia"/>
          <w:b/>
          <w:color w:val="FF0000"/>
          <w:szCs w:val="24"/>
        </w:rPr>
      </w:pPr>
    </w:p>
    <w:p>
      <w:pPr>
        <w:rPr>
          <w:rFonts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pPr>
        <w:widowControl/>
        <w:jc w:val="center"/>
        <w:outlineLvl w:val="3"/>
        <w:rPr>
          <w:rFonts w:ascii="黑体" w:hAnsi="宋体" w:eastAsia="黑体"/>
          <w:kern w:val="0"/>
          <w:sz w:val="24"/>
          <w:szCs w:val="20"/>
        </w:rPr>
      </w:pPr>
      <w:r>
        <w:rPr>
          <w:rFonts w:hint="eastAsia" w:ascii="宋体" w:hAnsi="宋体" w:eastAsia="宋体" w:cs="Times New Roman"/>
          <w:b/>
          <w:bCs/>
          <w:kern w:val="0"/>
          <w:sz w:val="24"/>
          <w:szCs w:val="20"/>
        </w:rPr>
        <w:t>4.政府采购违法行为风险知悉确认书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（三）对于涉及安全生产、特种作业、抢险救灾、防疫等政府采购项目，供应商实施提供虚假资料、串通投标等违法行为的，主管部门将依法从严处理。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3"/>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spacing w:val="-4"/>
                <w:kern w:val="0"/>
                <w:szCs w:val="21"/>
              </w:rPr>
            </w:pPr>
          </w:p>
        </w:tc>
      </w:tr>
    </w:tbl>
    <w:p>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负责人/投标授权代表签名：</w:t>
      </w:r>
    </w:p>
    <w:p>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知悉人（公章）：</w:t>
      </w:r>
    </w:p>
    <w:p>
      <w:pPr>
        <w:widowControl/>
        <w:wordWrap w:val="0"/>
        <w:autoSpaceDE w:val="0"/>
        <w:autoSpaceDN w:val="0"/>
        <w:spacing w:line="400" w:lineRule="exact"/>
        <w:ind w:right="808" w:firstLine="404" w:firstLineChars="200"/>
        <w:jc w:val="right"/>
        <w:rPr>
          <w:rFonts w:ascii="宋体" w:hAnsi="宋体"/>
          <w:spacing w:val="-4"/>
          <w:kern w:val="0"/>
          <w:szCs w:val="21"/>
          <w:u w:val="single"/>
        </w:rPr>
      </w:pPr>
      <w:r>
        <w:rPr>
          <w:rFonts w:hint="eastAsia" w:ascii="宋体" w:hAnsi="宋体"/>
          <w:spacing w:val="-4"/>
          <w:kern w:val="0"/>
          <w:szCs w:val="21"/>
        </w:rPr>
        <w:t xml:space="preserve">     日期：</w:t>
      </w:r>
    </w:p>
    <w:p>
      <w:pPr>
        <w:widowControl/>
        <w:wordWrap w:val="0"/>
        <w:autoSpaceDE w:val="0"/>
        <w:autoSpaceDN w:val="0"/>
        <w:spacing w:line="400" w:lineRule="exact"/>
        <w:ind w:right="1414" w:firstLine="404" w:firstLineChars="200"/>
        <w:jc w:val="right"/>
        <w:rPr>
          <w:rFonts w:ascii="宋体" w:hAnsi="宋体"/>
          <w:spacing w:val="-4"/>
          <w:kern w:val="0"/>
          <w:szCs w:val="21"/>
        </w:rPr>
      </w:pPr>
    </w:p>
    <w:p>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szCs w:val="21"/>
        </w:rPr>
        <w:t>注：</w:t>
      </w:r>
    </w:p>
    <w:p>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szCs w:val="21"/>
        </w:rPr>
        <w:t>1.根据《深圳市财政局关于采购文件增加风险告知有关事项的通知》（深财购〔2022〕22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b/>
          <w:bCs/>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pPr>
        <w:pStyle w:val="9"/>
        <w:rPr>
          <w:rFonts w:ascii="宋体" w:hAnsi="宋体"/>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pStyle w:val="10"/>
        <w:rPr>
          <w:rFonts w:ascii="宋体" w:hAnsi="宋体"/>
          <w:b/>
          <w:bCs/>
          <w:color w:val="FF0000"/>
          <w:spacing w:val="-4"/>
          <w:kern w:val="0"/>
          <w:szCs w:val="21"/>
        </w:rPr>
      </w:pPr>
    </w:p>
    <w:p>
      <w:pPr>
        <w:keepNext/>
        <w:keepLines/>
        <w:adjustRightInd w:val="0"/>
        <w:snapToGrid w:val="0"/>
        <w:spacing w:line="360" w:lineRule="auto"/>
        <w:jc w:val="center"/>
        <w:textAlignment w:val="baseline"/>
        <w:outlineLvl w:val="3"/>
        <w:rPr>
          <w:rFonts w:ascii="宋体" w:hAnsi="宋体" w:eastAsia="宋体" w:cs="Times New Roman"/>
          <w:kern w:val="0"/>
          <w:sz w:val="24"/>
          <w:szCs w:val="20"/>
        </w:rPr>
      </w:pPr>
      <w:r>
        <w:rPr>
          <w:rFonts w:hint="eastAsia" w:ascii="宋体" w:hAnsi="宋体" w:eastAsia="宋体" w:cs="Times New Roman"/>
          <w:b/>
          <w:bCs/>
          <w:kern w:val="0"/>
          <w:sz w:val="24"/>
          <w:szCs w:val="20"/>
        </w:rPr>
        <w:t>5.人员情况表</w:t>
      </w:r>
    </w:p>
    <w:tbl>
      <w:tblPr>
        <w:tblStyle w:val="16"/>
        <w:tblW w:w="908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67"/>
        <w:gridCol w:w="1276"/>
        <w:gridCol w:w="1559"/>
        <w:gridCol w:w="2126"/>
        <w:gridCol w:w="32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867"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序号</w:t>
            </w:r>
          </w:p>
        </w:tc>
        <w:tc>
          <w:tcPr>
            <w:tcW w:w="127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职务</w:t>
            </w:r>
          </w:p>
        </w:tc>
        <w:tc>
          <w:tcPr>
            <w:tcW w:w="1559"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姓名</w:t>
            </w:r>
          </w:p>
        </w:tc>
        <w:tc>
          <w:tcPr>
            <w:tcW w:w="2126"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相关证书</w:t>
            </w:r>
          </w:p>
        </w:tc>
        <w:tc>
          <w:tcPr>
            <w:tcW w:w="3260" w:type="dxa"/>
            <w:tcBorders>
              <w:top w:val="double" w:color="auto" w:sz="4" w:space="0"/>
              <w:left w:val="double" w:color="auto" w:sz="4" w:space="0"/>
              <w:bottom w:val="double" w:color="auto" w:sz="4" w:space="0"/>
              <w:right w:val="double" w:color="auto" w:sz="4" w:space="0"/>
            </w:tcBorders>
            <w:vAlign w:val="center"/>
          </w:tcPr>
          <w:p>
            <w:pPr>
              <w:spacing w:afterLines="25" w:line="300" w:lineRule="auto"/>
              <w:jc w:val="center"/>
              <w:rPr>
                <w:rFonts w:ascii="宋体" w:hAnsi="宋体" w:eastAsia="宋体" w:cs="Arial"/>
                <w:b/>
                <w:sz w:val="24"/>
                <w:szCs w:val="24"/>
              </w:rPr>
            </w:pPr>
            <w:r>
              <w:rPr>
                <w:rFonts w:hint="eastAsia" w:ascii="宋体" w:hAnsi="宋体" w:eastAsia="宋体" w:cs="Arial"/>
                <w:b/>
                <w:sz w:val="24"/>
                <w:szCs w:val="24"/>
              </w:rPr>
              <w:t>相关经验</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20" w:hRule="atLeast"/>
        </w:trPr>
        <w:tc>
          <w:tcPr>
            <w:tcW w:w="867"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27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1559"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2126"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c>
          <w:tcPr>
            <w:tcW w:w="3260" w:type="dxa"/>
            <w:tcBorders>
              <w:top w:val="double" w:color="auto" w:sz="4" w:space="0"/>
              <w:left w:val="double" w:color="auto" w:sz="4" w:space="0"/>
              <w:bottom w:val="double" w:color="auto" w:sz="4" w:space="0"/>
              <w:right w:val="double" w:color="auto" w:sz="4" w:space="0"/>
            </w:tcBorders>
          </w:tcPr>
          <w:p>
            <w:pPr>
              <w:spacing w:afterLines="25" w:line="300" w:lineRule="auto"/>
              <w:rPr>
                <w:rFonts w:ascii="宋体" w:hAnsi="宋体" w:eastAsia="宋体" w:cs="Arial"/>
                <w:sz w:val="24"/>
                <w:szCs w:val="24"/>
              </w:rPr>
            </w:pPr>
          </w:p>
        </w:tc>
      </w:tr>
    </w:tbl>
    <w:p>
      <w:pPr>
        <w:spacing w:afterLines="25" w:line="300" w:lineRule="auto"/>
        <w:rPr>
          <w:rFonts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（本章未提供的招标要求的其他文件格式由供应商自拟）</w:t>
      </w:r>
    </w:p>
    <w:p>
      <w:pPr>
        <w:widowControl/>
        <w:jc w:val="left"/>
        <w:rPr>
          <w:rFonts w:ascii="宋体" w:hAnsi="宋体" w:eastAsia="宋体" w:cs="Times New Roman"/>
          <w:color w:val="FF0000"/>
          <w:sz w:val="32"/>
          <w:szCs w:val="32"/>
        </w:r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24" w:name="_Hlk72574405"/>
      <w:r>
        <w:rPr>
          <w:rFonts w:hint="eastAsia"/>
          <w:b/>
          <w:sz w:val="24"/>
        </w:rPr>
        <w:t>（仅供参考，具体以项目需求及采购结果为准）</w:t>
      </w:r>
      <w:bookmarkEnd w:id="24"/>
    </w:p>
    <w:p>
      <w:pPr>
        <w:snapToGrid w:val="0"/>
        <w:spacing w:line="300" w:lineRule="auto"/>
        <w:jc w:val="center"/>
        <w:rPr>
          <w:rFonts w:ascii="仿宋" w:hAnsi="仿宋" w:eastAsia="仿宋" w:cs="Times New Roman"/>
          <w:sz w:val="28"/>
          <w:szCs w:val="28"/>
        </w:rPr>
      </w:pPr>
    </w:p>
    <w:p>
      <w:pPr>
        <w:rPr>
          <w:rFonts w:ascii="宋体" w:hAnsi="宋体" w:eastAsia="宋体" w:cs="Times New Roman"/>
          <w:b/>
          <w:bCs/>
          <w:sz w:val="24"/>
          <w:szCs w:val="24"/>
        </w:rPr>
      </w:pPr>
      <w:r>
        <w:rPr>
          <w:rFonts w:hint="eastAsia" w:ascii="宋体" w:hAnsi="宋体" w:eastAsia="宋体" w:cs="Times New Roman"/>
          <w:b/>
          <w:bCs/>
          <w:sz w:val="24"/>
          <w:szCs w:val="24"/>
        </w:rPr>
        <w:t>甲方：</w:t>
      </w:r>
    </w:p>
    <w:p>
      <w:pPr>
        <w:rPr>
          <w:rFonts w:ascii="宋体" w:hAnsi="宋体" w:eastAsia="宋体" w:cs="Times New Roman"/>
          <w:sz w:val="24"/>
          <w:szCs w:val="24"/>
        </w:rPr>
      </w:pPr>
      <w:r>
        <w:rPr>
          <w:rFonts w:hint="eastAsia" w:ascii="宋体" w:hAnsi="宋体" w:eastAsia="宋体" w:cs="Times New Roman"/>
          <w:sz w:val="24"/>
          <w:szCs w:val="24"/>
        </w:rPr>
        <w:t>地址：</w:t>
      </w:r>
    </w:p>
    <w:p>
      <w:pPr>
        <w:rPr>
          <w:rFonts w:ascii="宋体" w:hAnsi="宋体" w:eastAsia="宋体" w:cs="Times New Roman"/>
          <w:sz w:val="24"/>
          <w:szCs w:val="24"/>
        </w:rPr>
      </w:pPr>
      <w:r>
        <w:rPr>
          <w:rFonts w:hint="eastAsia" w:ascii="宋体" w:hAnsi="宋体" w:eastAsia="宋体" w:cs="Times New Roman"/>
          <w:sz w:val="24"/>
          <w:szCs w:val="24"/>
        </w:rPr>
        <w:t>联系人：</w:t>
      </w:r>
    </w:p>
    <w:p>
      <w:pPr>
        <w:rPr>
          <w:rFonts w:ascii="宋体" w:hAnsi="宋体" w:eastAsia="宋体" w:cs="Times New Roman"/>
          <w:b/>
          <w:bCs/>
          <w:sz w:val="24"/>
          <w:szCs w:val="24"/>
        </w:rPr>
      </w:pPr>
      <w:r>
        <w:rPr>
          <w:rFonts w:hint="eastAsia" w:ascii="宋体" w:hAnsi="宋体" w:eastAsia="宋体" w:cs="Times New Roman"/>
          <w:sz w:val="24"/>
          <w:szCs w:val="24"/>
        </w:rPr>
        <w:t>联系电话：</w:t>
      </w:r>
    </w:p>
    <w:p>
      <w:pPr>
        <w:rPr>
          <w:rFonts w:ascii="宋体" w:hAnsi="宋体" w:eastAsia="宋体" w:cs="Times New Roman"/>
          <w:b/>
          <w:bCs/>
          <w:sz w:val="24"/>
          <w:szCs w:val="24"/>
        </w:rPr>
      </w:pPr>
    </w:p>
    <w:p>
      <w:pPr>
        <w:rPr>
          <w:rFonts w:ascii="宋体" w:hAnsi="宋体" w:eastAsia="宋体" w:cs="Times New Roman"/>
          <w:b/>
          <w:bCs/>
          <w:sz w:val="24"/>
          <w:szCs w:val="24"/>
        </w:rPr>
      </w:pPr>
      <w:r>
        <w:rPr>
          <w:rFonts w:hint="eastAsia" w:ascii="宋体" w:hAnsi="宋体" w:eastAsia="宋体" w:cs="Times New Roman"/>
          <w:b/>
          <w:bCs/>
          <w:sz w:val="24"/>
          <w:szCs w:val="24"/>
        </w:rPr>
        <w:t>乙方：</w:t>
      </w:r>
    </w:p>
    <w:p>
      <w:pPr>
        <w:rPr>
          <w:rFonts w:ascii="宋体" w:hAnsi="宋体" w:eastAsia="宋体" w:cs="Times New Roman"/>
          <w:sz w:val="24"/>
          <w:szCs w:val="24"/>
        </w:rPr>
      </w:pPr>
      <w:r>
        <w:rPr>
          <w:rFonts w:hint="eastAsia" w:ascii="宋体" w:hAnsi="宋体" w:eastAsia="宋体" w:cs="Times New Roman"/>
          <w:sz w:val="24"/>
          <w:szCs w:val="24"/>
        </w:rPr>
        <w:t>地址：</w:t>
      </w:r>
    </w:p>
    <w:p>
      <w:pPr>
        <w:rPr>
          <w:rFonts w:ascii="宋体" w:hAnsi="宋体" w:eastAsia="宋体" w:cs="Times New Roman"/>
          <w:sz w:val="24"/>
          <w:szCs w:val="24"/>
        </w:rPr>
      </w:pPr>
      <w:r>
        <w:rPr>
          <w:rFonts w:hint="eastAsia" w:ascii="宋体" w:hAnsi="宋体" w:eastAsia="宋体" w:cs="Times New Roman"/>
          <w:sz w:val="24"/>
          <w:szCs w:val="24"/>
        </w:rPr>
        <w:t>联系人：</w:t>
      </w:r>
    </w:p>
    <w:p>
      <w:pPr>
        <w:rPr>
          <w:rFonts w:ascii="宋体" w:hAnsi="宋体" w:eastAsia="宋体" w:cs="Times New Roman"/>
          <w:b/>
          <w:bCs/>
          <w:sz w:val="24"/>
          <w:szCs w:val="24"/>
        </w:rPr>
      </w:pPr>
      <w:r>
        <w:rPr>
          <w:rFonts w:hint="eastAsia" w:ascii="宋体" w:hAnsi="宋体" w:eastAsia="宋体" w:cs="Times New Roman"/>
          <w:sz w:val="24"/>
          <w:szCs w:val="24"/>
        </w:rPr>
        <w:t>联系电话：</w:t>
      </w:r>
    </w:p>
    <w:p>
      <w:pPr>
        <w:rPr>
          <w:rFonts w:ascii="宋体" w:hAnsi="宋体" w:eastAsia="宋体" w:cs="Times New Roman"/>
          <w:sz w:val="24"/>
          <w:szCs w:val="24"/>
        </w:rPr>
      </w:pPr>
    </w:p>
    <w:p>
      <w:pPr>
        <w:rPr>
          <w:rFonts w:ascii="宋体" w:hAnsi="宋体" w:eastAsia="宋体" w:cs="Times New Roman"/>
          <w:sz w:val="24"/>
          <w:szCs w:val="24"/>
        </w:rPr>
      </w:pP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根据深圳公共资源交易中心（深圳交易集团有限公司***分公司）***号项目结果，***单位为中标人。按照《中华人民共和国民法典》（第三编 合同）》和《深圳经济特区政府采购条例》，经深圳市（以下简称甲方）和单位（以下简称乙方）协商，就甲方委托乙方承担</w:t>
      </w:r>
      <w:r>
        <w:rPr>
          <w:rFonts w:hint="eastAsia" w:ascii="宋体" w:hAnsi="宋体" w:eastAsia="宋体" w:cs="Times New Roman"/>
          <w:b/>
          <w:bCs/>
          <w:kern w:val="0"/>
          <w:sz w:val="24"/>
          <w:szCs w:val="24"/>
          <w:u w:val="single"/>
        </w:rPr>
        <w:t xml:space="preserve">                      项目</w:t>
      </w:r>
      <w:r>
        <w:rPr>
          <w:rFonts w:hint="eastAsia" w:ascii="宋体" w:hAnsi="宋体" w:eastAsia="宋体" w:cs="Times New Roman"/>
          <w:sz w:val="24"/>
          <w:szCs w:val="24"/>
        </w:rPr>
        <w:t>，达成以下合同条款：</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第一条 项目概况</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项目名称：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项目内容：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服务时间：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合同价款：合同总价为元，含一切税、费。</w:t>
      </w:r>
      <w:r>
        <w:rPr>
          <w:rFonts w:ascii="宋体" w:hAnsi="宋体" w:eastAsia="宋体" w:cs="Times New Roman"/>
          <w:sz w:val="24"/>
          <w:szCs w:val="24"/>
        </w:rPr>
        <w:t>本合同总价包括</w:t>
      </w:r>
      <w:r>
        <w:rPr>
          <w:rFonts w:hint="eastAsia" w:ascii="宋体" w:hAnsi="宋体" w:eastAsia="宋体" w:cs="Times New Roman"/>
          <w:sz w:val="24"/>
          <w:szCs w:val="24"/>
        </w:rPr>
        <w:t>乙方为实施本项目***所需的设备仪器费、车辆租赁费、</w:t>
      </w:r>
      <w:r>
        <w:rPr>
          <w:rFonts w:ascii="宋体" w:hAnsi="宋体" w:eastAsia="宋体" w:cs="Times New Roman"/>
          <w:sz w:val="24"/>
          <w:szCs w:val="24"/>
        </w:rPr>
        <w:t>服务</w:t>
      </w:r>
      <w:r>
        <w:rPr>
          <w:rFonts w:hint="eastAsia" w:ascii="宋体" w:hAnsi="宋体" w:eastAsia="宋体" w:cs="Times New Roman"/>
          <w:sz w:val="24"/>
          <w:szCs w:val="24"/>
        </w:rPr>
        <w:t>和</w:t>
      </w:r>
      <w:r>
        <w:rPr>
          <w:rFonts w:ascii="宋体" w:hAnsi="宋体" w:eastAsia="宋体" w:cs="Times New Roman"/>
          <w:sz w:val="24"/>
          <w:szCs w:val="24"/>
        </w:rPr>
        <w:t>技术费用</w:t>
      </w:r>
      <w:r>
        <w:rPr>
          <w:rFonts w:hint="eastAsia" w:ascii="宋体" w:hAnsi="宋体" w:eastAsia="宋体" w:cs="Times New Roman"/>
          <w:sz w:val="24"/>
          <w:szCs w:val="24"/>
        </w:rPr>
        <w:t>等</w:t>
      </w:r>
      <w:r>
        <w:rPr>
          <w:rFonts w:ascii="宋体" w:hAnsi="宋体" w:eastAsia="宋体" w:cs="Times New Roman"/>
          <w:sz w:val="24"/>
          <w:szCs w:val="24"/>
        </w:rPr>
        <w:t>，为固定不变价格，且不随通货膨胀的影响而波动。合同总价包括</w:t>
      </w:r>
      <w:r>
        <w:rPr>
          <w:rFonts w:hint="eastAsia" w:ascii="宋体" w:hAnsi="宋体" w:eastAsia="宋体" w:cs="Times New Roman"/>
          <w:sz w:val="24"/>
          <w:szCs w:val="24"/>
        </w:rPr>
        <w:t>乙方</w:t>
      </w:r>
      <w:r>
        <w:rPr>
          <w:rFonts w:ascii="宋体" w:hAnsi="宋体" w:eastAsia="宋体" w:cs="Times New Roman"/>
          <w:sz w:val="24"/>
          <w:szCs w:val="24"/>
        </w:rPr>
        <w:t>履行本合同义务所发生的一切费用和支出和以各种方式寄送技术资料到</w:t>
      </w:r>
      <w:r>
        <w:rPr>
          <w:rFonts w:hint="eastAsia" w:ascii="宋体" w:hAnsi="宋体" w:eastAsia="宋体" w:cs="Times New Roman"/>
          <w:sz w:val="24"/>
          <w:szCs w:val="24"/>
        </w:rPr>
        <w:t>甲</w:t>
      </w:r>
      <w:r>
        <w:rPr>
          <w:rFonts w:ascii="宋体" w:hAnsi="宋体" w:eastAsia="宋体" w:cs="Times New Roman"/>
          <w:sz w:val="24"/>
          <w:szCs w:val="24"/>
        </w:rPr>
        <w:t>方办公室所发生的费用。</w:t>
      </w:r>
    </w:p>
    <w:p>
      <w:pPr>
        <w:ind w:firstLine="420"/>
        <w:rPr>
          <w:rFonts w:ascii="宋体" w:hAnsi="宋体" w:eastAsia="宋体" w:cs="Times New Roman"/>
          <w:sz w:val="24"/>
          <w:szCs w:val="24"/>
        </w:rPr>
      </w:pPr>
      <w:r>
        <w:rPr>
          <w:rFonts w:hint="eastAsia" w:ascii="宋体" w:hAnsi="宋体" w:eastAsia="宋体" w:cs="Times New Roman"/>
          <w:sz w:val="24"/>
          <w:szCs w:val="24"/>
        </w:rPr>
        <w:t>支付方式：分期支付。</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第二条  服务范围</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 其他合同未明示的相关工作。</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第三条  时间要求及阶段成果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1、合同签订天内完成项目实施的准备工作，包括工作大纲和试验细则的编制；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第四条  咨询服务资料归属</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宋体" w:hAnsi="宋体" w:eastAsia="宋体" w:cs="Times New Roman"/>
          <w:sz w:val="24"/>
          <w:szCs w:val="24"/>
        </w:rPr>
        <w:t>、</w:t>
      </w:r>
      <w:r>
        <w:rPr>
          <w:rFonts w:ascii="宋体" w:hAnsi="宋体" w:eastAsia="宋体" w:cs="Times New Roman"/>
          <w:sz w:val="24"/>
          <w:szCs w:val="24"/>
        </w:rPr>
        <w:t>所有提交给</w:t>
      </w:r>
      <w:r>
        <w:rPr>
          <w:rFonts w:hint="eastAsia" w:ascii="宋体" w:hAnsi="宋体" w:eastAsia="宋体" w:cs="Times New Roman"/>
          <w:sz w:val="24"/>
          <w:szCs w:val="24"/>
        </w:rPr>
        <w:t>甲</w:t>
      </w:r>
      <w:r>
        <w:rPr>
          <w:rFonts w:ascii="宋体" w:hAnsi="宋体" w:eastAsia="宋体" w:cs="Times New Roman"/>
          <w:sz w:val="24"/>
          <w:szCs w:val="24"/>
        </w:rPr>
        <w:t>方的咨询服务</w:t>
      </w:r>
      <w:r>
        <w:rPr>
          <w:rFonts w:hint="eastAsia" w:ascii="宋体" w:hAnsi="宋体" w:eastAsia="宋体" w:cs="Times New Roman"/>
          <w:sz w:val="24"/>
          <w:szCs w:val="24"/>
        </w:rPr>
        <w:t>文件</w:t>
      </w:r>
      <w:r>
        <w:rPr>
          <w:rFonts w:ascii="宋体" w:hAnsi="宋体" w:eastAsia="宋体" w:cs="Times New Roman"/>
          <w:sz w:val="24"/>
          <w:szCs w:val="24"/>
        </w:rPr>
        <w:t>及相关的资料的最后文本，包括为履行技术咨询服务范围所编制的图纸、计划和证明资料等，都属于</w:t>
      </w:r>
      <w:r>
        <w:rPr>
          <w:rFonts w:hint="eastAsia" w:ascii="宋体" w:hAnsi="宋体" w:eastAsia="宋体" w:cs="Times New Roman"/>
          <w:sz w:val="24"/>
          <w:szCs w:val="24"/>
        </w:rPr>
        <w:t>甲</w:t>
      </w:r>
      <w:r>
        <w:rPr>
          <w:rFonts w:ascii="宋体" w:hAnsi="宋体" w:eastAsia="宋体" w:cs="Times New Roman"/>
          <w:sz w:val="24"/>
          <w:szCs w:val="24"/>
        </w:rPr>
        <w:t>方的财产，</w:t>
      </w:r>
      <w:r>
        <w:rPr>
          <w:rFonts w:hint="eastAsia" w:ascii="宋体" w:hAnsi="宋体" w:eastAsia="宋体" w:cs="Times New Roman"/>
          <w:sz w:val="24"/>
          <w:szCs w:val="24"/>
        </w:rPr>
        <w:t>乙</w:t>
      </w:r>
      <w:r>
        <w:rPr>
          <w:rFonts w:ascii="宋体" w:hAnsi="宋体" w:eastAsia="宋体" w:cs="Times New Roman"/>
          <w:sz w:val="24"/>
          <w:szCs w:val="24"/>
        </w:rPr>
        <w:t>方在提交给</w:t>
      </w:r>
      <w:r>
        <w:rPr>
          <w:rFonts w:hint="eastAsia" w:ascii="宋体" w:hAnsi="宋体" w:eastAsia="宋体" w:cs="Times New Roman"/>
          <w:sz w:val="24"/>
          <w:szCs w:val="24"/>
        </w:rPr>
        <w:t>甲</w:t>
      </w:r>
      <w:r>
        <w:rPr>
          <w:rFonts w:ascii="宋体" w:hAnsi="宋体" w:eastAsia="宋体" w:cs="Times New Roman"/>
          <w:sz w:val="24"/>
          <w:szCs w:val="24"/>
        </w:rPr>
        <w:t>方之前应将上述资料进行整理归类和编制索引</w:t>
      </w:r>
      <w:r>
        <w:rPr>
          <w:rFonts w:hint="eastAsia" w:ascii="宋体" w:hAnsi="宋体" w:eastAsia="宋体" w:cs="Times New Roman"/>
          <w:sz w:val="24"/>
          <w:szCs w:val="24"/>
        </w:rPr>
        <w:t>。</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宋体" w:hAnsi="宋体" w:eastAsia="宋体" w:cs="Times New Roman"/>
          <w:sz w:val="24"/>
          <w:szCs w:val="24"/>
        </w:rPr>
        <w:t>、乙</w:t>
      </w:r>
      <w:r>
        <w:rPr>
          <w:rFonts w:ascii="宋体" w:hAnsi="宋体" w:eastAsia="宋体" w:cs="Times New Roman"/>
          <w:sz w:val="24"/>
          <w:szCs w:val="24"/>
        </w:rPr>
        <w:t>方未经</w:t>
      </w:r>
      <w:r>
        <w:rPr>
          <w:rFonts w:hint="eastAsia" w:ascii="宋体" w:hAnsi="宋体" w:eastAsia="宋体" w:cs="Times New Roman"/>
          <w:sz w:val="24"/>
          <w:szCs w:val="24"/>
        </w:rPr>
        <w:t>甲</w:t>
      </w:r>
      <w:r>
        <w:rPr>
          <w:rFonts w:ascii="宋体" w:hAnsi="宋体" w:eastAsia="宋体" w:cs="Times New Roman"/>
          <w:sz w:val="24"/>
          <w:szCs w:val="24"/>
        </w:rPr>
        <w:t>方的书面同意，不得将上述资料用于与本咨询服务项目之外的任何项目</w:t>
      </w:r>
      <w:r>
        <w:rPr>
          <w:rFonts w:hint="eastAsia" w:ascii="宋体" w:hAnsi="宋体" w:eastAsia="宋体" w:cs="Times New Roman"/>
          <w:sz w:val="24"/>
          <w:szCs w:val="24"/>
        </w:rPr>
        <w:t>。</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w:t>
      </w:r>
      <w:r>
        <w:rPr>
          <w:rFonts w:ascii="宋体" w:hAnsi="宋体" w:eastAsia="宋体" w:cs="Times New Roman"/>
          <w:sz w:val="24"/>
          <w:szCs w:val="24"/>
        </w:rPr>
        <w:t>合同履行</w:t>
      </w:r>
      <w:r>
        <w:rPr>
          <w:rFonts w:hint="eastAsia" w:ascii="宋体" w:hAnsi="宋体" w:eastAsia="宋体" w:cs="Times New Roman"/>
          <w:sz w:val="24"/>
          <w:szCs w:val="24"/>
        </w:rPr>
        <w:t>完毕，</w:t>
      </w:r>
      <w:r>
        <w:rPr>
          <w:rFonts w:ascii="宋体" w:hAnsi="宋体" w:eastAsia="宋体" w:cs="Times New Roman"/>
          <w:sz w:val="24"/>
          <w:szCs w:val="24"/>
        </w:rPr>
        <w:t>未经</w:t>
      </w:r>
      <w:r>
        <w:rPr>
          <w:rFonts w:hint="eastAsia" w:ascii="宋体" w:hAnsi="宋体" w:eastAsia="宋体" w:cs="Times New Roman"/>
          <w:sz w:val="24"/>
          <w:szCs w:val="24"/>
        </w:rPr>
        <w:t>甲</w:t>
      </w:r>
      <w:r>
        <w:rPr>
          <w:rFonts w:ascii="宋体" w:hAnsi="宋体" w:eastAsia="宋体" w:cs="Times New Roman"/>
          <w:sz w:val="24"/>
          <w:szCs w:val="24"/>
        </w:rPr>
        <w:t>方的书面同意</w:t>
      </w:r>
      <w:r>
        <w:rPr>
          <w:rFonts w:hint="eastAsia" w:ascii="宋体" w:hAnsi="宋体" w:eastAsia="宋体" w:cs="Times New Roman"/>
          <w:sz w:val="24"/>
          <w:szCs w:val="24"/>
        </w:rPr>
        <w:t>，乙</w:t>
      </w:r>
      <w:r>
        <w:rPr>
          <w:rFonts w:ascii="宋体" w:hAnsi="宋体" w:eastAsia="宋体" w:cs="Times New Roman"/>
          <w:sz w:val="24"/>
          <w:szCs w:val="24"/>
        </w:rPr>
        <w:t>方</w:t>
      </w:r>
      <w:r>
        <w:rPr>
          <w:rFonts w:hint="eastAsia" w:ascii="宋体" w:hAnsi="宋体" w:eastAsia="宋体" w:cs="Times New Roman"/>
          <w:sz w:val="24"/>
          <w:szCs w:val="24"/>
        </w:rPr>
        <w:t>不得保存在</w:t>
      </w:r>
      <w:r>
        <w:rPr>
          <w:rFonts w:ascii="宋体" w:hAnsi="宋体" w:eastAsia="宋体" w:cs="Times New Roman"/>
          <w:sz w:val="24"/>
          <w:szCs w:val="24"/>
        </w:rPr>
        <w:t>履行合同过程中所获得或接触到的任何</w:t>
      </w:r>
      <w:r>
        <w:rPr>
          <w:rFonts w:hint="eastAsia" w:ascii="宋体" w:hAnsi="宋体" w:eastAsia="宋体" w:cs="Times New Roman"/>
          <w:sz w:val="24"/>
          <w:szCs w:val="24"/>
        </w:rPr>
        <w:t>内部数据资料。</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第五条  甲方的义务</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1、负责与本咨询服务项目有关的第三方的协调，提供开展咨询服务工作的外部条件。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2、向乙方提供与本项目咨询服务工作有关的资料。</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3、负责组织有关专家对项目试验成果评估报告的评审。</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第六条 乙方的义务</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１、应按照招标文件、投标文件要求按期完成本项目咨询服务工作。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2、负责组织项目的实施，保证工程进度和成桥荷载试验工作质量，并满足交通部交工验收相关标准。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3、向甲方提交检测资料等各套，一套电子版文件。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4、在履行合同期间或合同规定期限内，不得泄露与本合同规定业务活动有关的保密资料。</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第七条  甲方的权利</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1、有权向乙方询问工作进展情况及相关的内容。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2、有权阐述对具体问题的意见和建议。</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3、当甲方认定乙方人员不按合同履行其职责，或与第三人串通给甲方造成经济损失的，甲方有权要求更换人员，直至终止合同并要求乙方承担相应的赔偿责任。</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第八条  乙方的权利</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1、乙方在本项目服务过程中，如甲方提供的资料不明确时可向甲方提出书面报告。</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2、乙方在本项目服务过程中，有权对第三方提出与本咨询服务业务有关的问题进行核对或查问。</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3、乙方在本项目服务过程中，有到工程现场勘察的权利。</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第九条  甲方的责任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1、应当履行本合同约定的义务，如有违反则应当承担违约责任，赔偿给乙方造成的损失。</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2、甲方向乙方提出赔偿要求不能成立时，则应补偿由于该赔偿或其他要求所导致乙方的各种费用的支出。</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第十条  乙方的责任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1、乙方的责任期即本合同有效期。如因非乙方的责任造成进度的推迟或延误而超过约定的日期，双方应进一步约定相应延长合同有效期。</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2、乙方的责任期内，应当履行本合同中约定的义务，因乙方的单方过失造成的经济损失，应当向甲方进行赔偿。</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3、乙方对甲方或第三方所提出的问题不能及时核对或答复，导致合同不能全部或部分履行，乙方应承担责任。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4、乙方向甲方提出赔偿要求不能成立时，则应补偿由于该赔偿或其他要求所导致甲方的各种费用的支出。</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第十一条  人员要求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1、参加本项目试验的人员必须具有国家和有关部门规定的相应资质。</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 参加本项目的试验人员的配置必须与投标文件中的服务承诺书和试验服务组织实施方案一致。</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3、必须以直属试验人员参与本项目服务，不得使用挂靠队伍。</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第十二条  乙方咨询服务工具要求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1、乙方应配备中标项目所需的足够数量的仪器、仪表以及工具等设备。用户不需向乙方提供施工工具和仪器、仪表。</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2、乙方在提供服务过程中应自备车辆。</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第十三条  保密要求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2、乙方在履行合同过程中所获得或接触到的任何内部数据资料，未经甲方同意，不得向第三方透露。</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3、乙方实施项目的一切程序都应符合国家安全、保密的有关规定和标准。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4、乙方参加项目的有关人员均需同甲方签订保密协议。</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 xml:space="preserve">第十四条  验收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1、下列文件的验收分为</w:t>
      </w:r>
      <w:r>
        <w:rPr>
          <w:rFonts w:hint="eastAsia" w:ascii="宋体" w:hAnsi="宋体" w:eastAsia="宋体" w:cs="Times New Roman"/>
          <w:sz w:val="24"/>
          <w:szCs w:val="24"/>
          <w:u w:val="single"/>
        </w:rPr>
        <w:t xml:space="preserve">          三</w:t>
      </w:r>
      <w:r>
        <w:rPr>
          <w:rFonts w:hint="eastAsia" w:ascii="宋体" w:hAnsi="宋体" w:eastAsia="宋体" w:cs="Times New Roman"/>
          <w:sz w:val="24"/>
          <w:szCs w:val="24"/>
        </w:rPr>
        <w:t>个阶段:</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2、其余文件和工作由用户组织有关技术人员根据国家和行业有关规范、规程、标准和用户需求直接验收。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3、验收依据为招标文件、投标文件，国家和行业有关规范、规程和标准。</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第十五条  付款方式</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1、合同签订后   天内乙方向甲方开具合法有效的发票后，甲方于   天内向乙方支付合同总价%的款项。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2、检测完成并提交评估报告后  天内，乙方向甲方开具合法有效发票后 天，甲方向乙方支付合同总价%的款项。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3、报告通过专家评审后，甲方向乙方支付合同总价%的款项。</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第十六条  争议解决办法</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执行本合同发生的争议，由甲乙双方协商解决，如协商不成的，应提交甲方所在地人民法院诉讼解决。</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第十七条  风险责任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１、乙方应完全地按照招标文件的要求和乙方投标文件的承诺完成本项目，出于自身财务、技术、人力等原因导致项目失败的，应承担全部责任。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2、乙方在实施荷载试验过程中应对自身的安全生产负责，若非因甲方原因发生的各种事故甲方不承担任何责任。</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第十八条  违约责任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１、因乙方原因，未能按规定时间完成有关工作的，每延误一天，甲方可在支付合同余款中扣除合同价款千分之一。</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2、由于乙方原因造成试验成果质量低劣，不能满足大纲要求时，应继续完善试验工作，其费用由乙方承担。</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5、乙方或其工作人员违反本合同约定的保密义务，甲方有权要求乙方按合同总额   %支付违约金；造成不良影响或对甲方造成损失的，甲方有权要求乙方消除影响，承担赔偿责任，并有权解除合同。</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6、因乙方提供的服务成果受到侵权指控或者引发法律纠纷，影响甲方使用服务成果或者导致合同目的不能实现的，甲方有权要求乙方按合同总额   %支付违约金，并有权解除合同。</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第十九条  其他</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1、本合同与招标文件、乙方投标文件如有抵触之处，以本合同条款为准。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2、下列文件均为本合同的组成部分：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（1）号招标文件、答疑及补充通知；</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（2）投标文件；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（3）本合同执行中共同签署的补充与修正文件。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本合同一式份，甲、乙方双方各执份，具有同等法律效力。本合同自双方法人代表签字（盖章）认可之日起生效。</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本合同未尽事宜，双方友好协商，达成解决方案，经双方签字后，可作为本合同的有效附件。</w:t>
      </w:r>
    </w:p>
    <w:p>
      <w:pPr>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甲方（采购人）：   （盖章）       乙方（供应商）：    （盖章）</w:t>
      </w: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委托代理人：                     委托代理人：</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         日期：   年     月    日</w:t>
      </w:r>
    </w:p>
    <w:p>
      <w:pPr>
        <w:snapToGrid w:val="0"/>
        <w:spacing w:line="300" w:lineRule="auto"/>
        <w:rPr>
          <w:rFonts w:ascii="仿宋_GB2312" w:hAnsi="华文仿宋" w:eastAsia="仿宋_GB2312" w:cs="Times New Roman"/>
          <w:sz w:val="28"/>
        </w:rPr>
      </w:pPr>
    </w:p>
    <w:p>
      <w:pPr>
        <w:widowControl/>
        <w:jc w:val="left"/>
        <w:rPr>
          <w:rFonts w:ascii="Arial" w:hAnsi="Arial" w:eastAsia="宋体" w:cs="Times New Roman"/>
          <w:color w:val="FF0000"/>
          <w:szCs w:val="24"/>
        </w:rPr>
      </w:pPr>
    </w:p>
    <w:p>
      <w:pPr>
        <w:widowControl/>
        <w:jc w:val="left"/>
        <w:rPr>
          <w:b/>
          <w:color w:val="FF0000"/>
          <w:sz w:val="52"/>
          <w:szCs w:val="52"/>
        </w:rPr>
      </w:pPr>
      <w:r>
        <w:rPr>
          <w:b/>
          <w:color w:val="FF0000"/>
          <w:sz w:val="52"/>
          <w:szCs w:val="52"/>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27"/>
        <w:keepNext/>
        <w:keepLines/>
        <w:numPr>
          <w:ilvl w:val="0"/>
          <w:numId w:val="3"/>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sz w:val="28"/>
          <w:szCs w:val="28"/>
        </w:rPr>
      </w:pPr>
      <w:bookmarkStart w:id="25" w:name="_Hlk72399513"/>
      <w:r>
        <w:rPr>
          <w:rFonts w:hint="eastAsia" w:asciiTheme="majorHAnsi" w:hAnsiTheme="majorHAnsi" w:eastAsiaTheme="majorEastAsia" w:cstheme="majorBidi"/>
          <w:b/>
          <w:bCs/>
          <w:sz w:val="28"/>
          <w:szCs w:val="28"/>
        </w:rPr>
        <w:t>总则</w:t>
      </w:r>
    </w:p>
    <w:bookmarkEnd w:id="25"/>
    <w:p>
      <w:pPr>
        <w:rPr>
          <w:rFonts w:ascii="黑体" w:hAnsi="宋体" w:eastAsia="黑体"/>
          <w:sz w:val="24"/>
        </w:rPr>
      </w:pPr>
      <w:bookmarkStart w:id="26"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27" w:name="_Hlk72399729"/>
      <w:r>
        <w:rPr>
          <w:rFonts w:hint="eastAsia" w:ascii="宋体" w:hAnsi="宋体"/>
          <w:szCs w:val="21"/>
        </w:rPr>
        <w:t>如有需要，政府集中采购机构可以对通用条款的内容进行补充。</w:t>
      </w:r>
      <w:bookmarkEnd w:id="27"/>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深圳公共资源交易中心（深圳交易集团有限公司宝安分公司）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深圳公共资源交易中心（深圳交易集团有限公司宝安分公司）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28"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jc w:val="left"/>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p>
    <w:p>
      <w:pPr>
        <w:ind w:left="420" w:leftChars="200" w:firstLine="411" w:firstLineChars="196"/>
        <w:rPr>
          <w:rFonts w:ascii="宋体" w:hAnsi="宋体"/>
        </w:rPr>
      </w:pPr>
      <w:r>
        <w:rPr>
          <w:rFonts w:hint="eastAsia" w:ascii="宋体" w:hAnsi="宋体"/>
        </w:rPr>
        <w:t>1、具有独立承担民事责任的能力；</w:t>
      </w:r>
    </w:p>
    <w:p>
      <w:pPr>
        <w:ind w:left="420" w:firstLine="411" w:firstLineChars="196"/>
        <w:rPr>
          <w:rFonts w:ascii="宋体" w:hAnsi="宋体"/>
        </w:rPr>
      </w:pPr>
      <w:r>
        <w:rPr>
          <w:rFonts w:hint="eastAsia" w:ascii="宋体" w:hAnsi="宋体"/>
        </w:rPr>
        <w:t>2、有良好的商业信誉和健全的财务会计制度；</w:t>
      </w:r>
    </w:p>
    <w:p>
      <w:pPr>
        <w:ind w:left="420" w:leftChars="200" w:firstLine="411" w:firstLineChars="196"/>
        <w:rPr>
          <w:rFonts w:ascii="宋体" w:hAnsi="宋体"/>
        </w:rPr>
      </w:pPr>
      <w:r>
        <w:rPr>
          <w:rFonts w:hint="eastAsia" w:ascii="宋体" w:hAnsi="宋体"/>
        </w:rPr>
        <w:t>3、具有履行合同所必需的设备和专业技术能力；</w:t>
      </w:r>
    </w:p>
    <w:p>
      <w:pPr>
        <w:ind w:left="420" w:leftChars="200" w:firstLine="411" w:firstLineChars="196"/>
        <w:rPr>
          <w:rFonts w:ascii="宋体" w:hAnsi="宋体"/>
        </w:rPr>
      </w:pPr>
      <w:r>
        <w:rPr>
          <w:rFonts w:hint="eastAsia" w:ascii="宋体" w:hAnsi="宋体"/>
        </w:rPr>
        <w:t>4、有依法缴纳税收和社会保障资金的良好记录；</w:t>
      </w:r>
    </w:p>
    <w:p>
      <w:pPr>
        <w:ind w:left="420" w:leftChars="200" w:firstLine="411" w:firstLineChars="196"/>
        <w:rPr>
          <w:rFonts w:ascii="宋体" w:hAnsi="宋体"/>
        </w:rPr>
      </w:pPr>
      <w:r>
        <w:rPr>
          <w:rFonts w:hint="eastAsia" w:ascii="宋体" w:hAnsi="宋体"/>
        </w:rPr>
        <w:t>5、参加政府采购活动前三年内，在经营活动中没有重大违法记录；</w:t>
      </w:r>
    </w:p>
    <w:p>
      <w:pPr>
        <w:ind w:left="420" w:leftChars="200" w:firstLine="411" w:firstLineChars="196"/>
        <w:rPr>
          <w:rFonts w:ascii="宋体" w:hAnsi="宋体"/>
        </w:rPr>
      </w:pPr>
      <w:r>
        <w:rPr>
          <w:rFonts w:hint="eastAsia" w:ascii="宋体" w:hAnsi="宋体"/>
        </w:rPr>
        <w:t>6、法律、行政法规规定的其他条件。</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6.1政府采购扶持贫困地区、中小企业、监狱企业和残疾人福利性单位发展，支持节能减排、环境保护。</w:t>
      </w:r>
    </w:p>
    <w:p>
      <w:pPr>
        <w:ind w:firstLine="405"/>
        <w:rPr>
          <w:shd w:val="clear" w:color="auto" w:fill="FFFFFF"/>
        </w:rPr>
      </w:pPr>
      <w:r>
        <w:rPr>
          <w:rFonts w:hint="eastAsia" w:ascii="宋体" w:hAnsi="宋体"/>
        </w:rPr>
        <w:t>6.2本项目落实深圳市政府采购供应商诚信管理政策要求。</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4投标人</w:t>
      </w:r>
      <w:bookmarkStart w:id="29"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9"/>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28"/>
    <w:p>
      <w:pPr>
        <w:ind w:firstLine="411" w:firstLineChars="196"/>
        <w:rPr>
          <w:rFonts w:ascii="宋体" w:hAnsi="宋体"/>
        </w:rPr>
      </w:pPr>
    </w:p>
    <w:p>
      <w:pPr>
        <w:pStyle w:val="3"/>
        <w:numPr>
          <w:ilvl w:val="0"/>
          <w:numId w:val="4"/>
        </w:numPr>
        <w:spacing w:beforeLines="5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0"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第四章 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0"/>
    </w:p>
    <w:p>
      <w:pPr>
        <w:rPr>
          <w:rFonts w:ascii="宋体" w:hAnsi="宋体"/>
          <w:szCs w:val="21"/>
        </w:rPr>
      </w:pPr>
    </w:p>
    <w:p>
      <w:pPr>
        <w:pStyle w:val="3"/>
        <w:numPr>
          <w:ilvl w:val="0"/>
          <w:numId w:val="4"/>
        </w:numPr>
        <w:spacing w:beforeLines="5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31"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31"/>
    <w:p>
      <w:pPr>
        <w:rPr>
          <w:rFonts w:ascii="黑体" w:hAnsi="宋体" w:eastAsia="黑体"/>
          <w:sz w:val="24"/>
        </w:rPr>
      </w:pPr>
      <w:r>
        <w:rPr>
          <w:rFonts w:hint="eastAsia" w:ascii="黑体" w:hAnsi="宋体" w:eastAsia="黑体"/>
          <w:sz w:val="24"/>
        </w:rPr>
        <w:t>15．</w:t>
      </w:r>
      <w:bookmarkStart w:id="32"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32"/>
    <w:p>
      <w:pPr>
        <w:rPr>
          <w:rFonts w:ascii="黑体" w:hAnsi="宋体" w:eastAsia="黑体"/>
          <w:sz w:val="24"/>
        </w:rPr>
      </w:pPr>
      <w:r>
        <w:rPr>
          <w:rFonts w:hint="eastAsia" w:ascii="黑体" w:hAnsi="宋体" w:eastAsia="黑体"/>
          <w:sz w:val="24"/>
        </w:rPr>
        <w:t>18．</w:t>
      </w:r>
      <w:bookmarkStart w:id="33"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33"/>
    <w:p>
      <w:pPr>
        <w:rPr>
          <w:rFonts w:ascii="黑体" w:hAnsi="宋体" w:eastAsia="黑体"/>
          <w:sz w:val="24"/>
        </w:rPr>
      </w:pPr>
      <w:r>
        <w:rPr>
          <w:rFonts w:hint="eastAsia" w:ascii="黑体" w:hAnsi="宋体" w:eastAsia="黑体"/>
          <w:sz w:val="24"/>
        </w:rPr>
        <w:t>19．</w:t>
      </w:r>
      <w:bookmarkStart w:id="34"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35" w:name="_Hlk71407299"/>
    </w:p>
    <w:bookmarkEnd w:id="35"/>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34"/>
    <w:p>
      <w:pPr>
        <w:ind w:firstLine="411" w:firstLineChars="196"/>
        <w:rPr>
          <w:rFonts w:ascii="宋体" w:hAnsi="宋体"/>
          <w:szCs w:val="21"/>
        </w:rPr>
      </w:pPr>
      <w:bookmarkStart w:id="3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36"/>
    <w:p>
      <w:pPr>
        <w:rPr>
          <w:rFonts w:ascii="黑体" w:hAnsi="宋体" w:eastAsia="黑体"/>
          <w:sz w:val="24"/>
        </w:rPr>
      </w:pPr>
      <w:r>
        <w:rPr>
          <w:rFonts w:hint="eastAsia" w:ascii="黑体" w:hAnsi="宋体" w:eastAsia="黑体"/>
          <w:sz w:val="24"/>
        </w:rPr>
        <w:t>21．</w:t>
      </w:r>
      <w:bookmarkStart w:id="37"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37"/>
    <w:p>
      <w:pPr>
        <w:rPr>
          <w:rFonts w:ascii="黑体" w:hAnsi="宋体" w:eastAsia="黑体"/>
          <w:sz w:val="24"/>
        </w:rPr>
      </w:pPr>
      <w:r>
        <w:rPr>
          <w:rFonts w:hint="eastAsia" w:ascii="黑体" w:hAnsi="宋体" w:eastAsia="黑体"/>
          <w:sz w:val="24"/>
        </w:rPr>
        <w:t>23．</w:t>
      </w:r>
      <w:bookmarkStart w:id="38"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38"/>
    </w:p>
    <w:p>
      <w:pPr>
        <w:ind w:firstLine="411" w:firstLineChars="196"/>
        <w:rPr>
          <w:rFonts w:ascii="宋体" w:hAnsi="宋体"/>
          <w:szCs w:val="21"/>
        </w:rPr>
      </w:pPr>
    </w:p>
    <w:p>
      <w:pPr>
        <w:pStyle w:val="3"/>
        <w:numPr>
          <w:ilvl w:val="0"/>
          <w:numId w:val="4"/>
        </w:numPr>
        <w:spacing w:beforeLines="50" w:afterLines="50"/>
        <w:ind w:left="562" w:hanging="562"/>
        <w:rPr>
          <w:sz w:val="28"/>
          <w:szCs w:val="28"/>
        </w:rPr>
      </w:pPr>
      <w:r>
        <w:rPr>
          <w:rFonts w:hint="eastAsia"/>
          <w:sz w:val="28"/>
          <w:szCs w:val="28"/>
        </w:rPr>
        <w:t>投标文件的递交</w:t>
      </w:r>
    </w:p>
    <w:p>
      <w:pPr>
        <w:rPr>
          <w:rFonts w:ascii="黑体" w:hAnsi="宋体" w:eastAsia="黑体"/>
          <w:sz w:val="24"/>
        </w:rPr>
      </w:pPr>
      <w:bookmarkStart w:id="39"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pPr>
        <w:rPr>
          <w:rFonts w:ascii="宋体" w:hAnsi="宋体"/>
          <w:b/>
        </w:rPr>
      </w:pPr>
      <w:r>
        <w:rPr>
          <w:rFonts w:hint="eastAsia" w:ascii="宋体" w:hAnsi="宋体"/>
          <w:b/>
        </w:rPr>
        <w:t>24.2若采购项目出现延期情况：</w:t>
      </w:r>
    </w:p>
    <w:p>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深圳公共资源交易中心（深圳交易集团有限公司宝安分公司）</w:t>
      </w:r>
      <w:r>
        <w:rPr>
          <w:rFonts w:hint="eastAsia" w:ascii="宋体" w:hAnsi="宋体"/>
          <w:b/>
          <w:bCs/>
        </w:rPr>
        <w:t>一楼服务大厅（地址：深圳市宝安区湖滨东路40号）</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p>
      <w:pPr>
        <w:ind w:firstLine="411" w:firstLineChars="196"/>
        <w:rPr>
          <w:rFonts w:ascii="宋体" w:hAnsi="宋体"/>
        </w:rPr>
      </w:pPr>
    </w:p>
    <w:bookmarkEnd w:id="39"/>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40"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40"/>
    <w:p>
      <w:pPr>
        <w:pStyle w:val="3"/>
        <w:numPr>
          <w:ilvl w:val="0"/>
          <w:numId w:val="4"/>
        </w:numPr>
        <w:spacing w:beforeLines="5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3"/>
        <w:numPr>
          <w:ilvl w:val="0"/>
          <w:numId w:val="4"/>
        </w:numPr>
        <w:spacing w:beforeLines="5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41"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41"/>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3"/>
        <w:numPr>
          <w:ilvl w:val="0"/>
          <w:numId w:val="4"/>
        </w:numPr>
        <w:spacing w:beforeLines="5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42"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42"/>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43" w:name="_Toc73517673"/>
      <w:bookmarkStart w:id="44" w:name="_Toc100052400"/>
      <w:bookmarkStart w:id="45" w:name="_Toc73521581"/>
      <w:bookmarkStart w:id="46" w:name="_Toc73521669"/>
      <w:bookmarkStart w:id="47" w:name="_Toc73518151"/>
      <w:r>
        <w:rPr>
          <w:rFonts w:hint="eastAsia" w:ascii="黑体" w:hAnsi="宋体" w:eastAsia="黑体"/>
          <w:sz w:val="24"/>
        </w:rPr>
        <w:t>34．错误的修正</w:t>
      </w:r>
      <w:bookmarkEnd w:id="43"/>
      <w:bookmarkEnd w:id="44"/>
      <w:bookmarkEnd w:id="45"/>
      <w:bookmarkEnd w:id="46"/>
      <w:bookmarkEnd w:id="47"/>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48"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48"/>
    </w:p>
    <w:p>
      <w:pPr>
        <w:ind w:firstLine="413" w:firstLineChars="196"/>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3"/>
        <w:numPr>
          <w:ilvl w:val="0"/>
          <w:numId w:val="4"/>
        </w:numPr>
        <w:spacing w:beforeLines="5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49"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50" w:name="_Hlk73821177"/>
      <w:r>
        <w:rPr>
          <w:rFonts w:hint="eastAsia" w:ascii="ˎ̥" w:hAnsi="ˎ̥"/>
        </w:rPr>
        <w:t>唯一候选中标供应商</w:t>
      </w:r>
      <w:bookmarkEnd w:id="50"/>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为唯一候选中标供应商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51"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52"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51"/>
      <w:bookmarkEnd w:id="52"/>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49"/>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53"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53"/>
      <w:bookmarkStart w:id="5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54"/>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5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55"/>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56" w:name="_Hlk71407340"/>
      <w:r>
        <w:rPr>
          <w:rFonts w:hint="eastAsia" w:ascii="宋体" w:hAnsi="宋体"/>
          <w:szCs w:val="21"/>
        </w:rPr>
        <w:t>41.3因质疑投诉或其它原因导致项目结果变更或采购终止的，政府集中采购机构有权吊销中标通知书。</w:t>
      </w:r>
    </w:p>
    <w:bookmarkEnd w:id="56"/>
    <w:p>
      <w:pPr>
        <w:ind w:firstLine="411" w:firstLineChars="196"/>
        <w:rPr>
          <w:rFonts w:ascii="宋体" w:hAnsi="宋体"/>
          <w:szCs w:val="21"/>
        </w:rPr>
      </w:pPr>
    </w:p>
    <w:p>
      <w:pPr>
        <w:pStyle w:val="3"/>
        <w:numPr>
          <w:ilvl w:val="0"/>
          <w:numId w:val="4"/>
        </w:numPr>
        <w:spacing w:beforeLines="5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3"/>
        <w:numPr>
          <w:ilvl w:val="0"/>
          <w:numId w:val="4"/>
        </w:numPr>
        <w:spacing w:beforeLines="50" w:afterLines="50"/>
        <w:ind w:left="562" w:hanging="562"/>
        <w:rPr>
          <w:sz w:val="28"/>
          <w:szCs w:val="28"/>
        </w:rPr>
      </w:pPr>
      <w:bookmarkStart w:id="57" w:name="_Hlk72439043"/>
      <w:r>
        <w:rPr>
          <w:rFonts w:hint="eastAsia"/>
          <w:sz w:val="28"/>
          <w:szCs w:val="28"/>
        </w:rPr>
        <w:t>合同的授予与备案</w:t>
      </w:r>
      <w:bookmarkEnd w:id="57"/>
    </w:p>
    <w:p>
      <w:pPr>
        <w:rPr>
          <w:rFonts w:ascii="黑体" w:hAnsi="宋体" w:eastAsia="黑体"/>
          <w:sz w:val="24"/>
        </w:rPr>
      </w:pPr>
      <w:bookmarkStart w:id="58" w:name="_Toc73521586"/>
      <w:bookmarkStart w:id="59" w:name="_Toc73518157"/>
      <w:bookmarkStart w:id="60" w:name="_Toc73517679"/>
      <w:bookmarkStart w:id="61" w:name="_Toc73521674"/>
      <w:bookmarkStart w:id="62" w:name="_Toc100052408"/>
      <w:bookmarkStart w:id="63" w:name="_Hlk72439088"/>
      <w:r>
        <w:rPr>
          <w:rFonts w:hint="eastAsia" w:ascii="黑体" w:hAnsi="宋体" w:eastAsia="黑体"/>
          <w:sz w:val="24"/>
        </w:rPr>
        <w:t>43．合同授予标准</w:t>
      </w:r>
      <w:bookmarkEnd w:id="58"/>
      <w:bookmarkEnd w:id="59"/>
      <w:bookmarkEnd w:id="60"/>
      <w:bookmarkEnd w:id="61"/>
      <w:bookmarkEnd w:id="62"/>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64" w:name="_Toc73521675"/>
      <w:bookmarkStart w:id="65" w:name="_Toc100052409"/>
      <w:bookmarkStart w:id="66" w:name="_Toc73517680"/>
      <w:bookmarkStart w:id="67" w:name="_Toc73521587"/>
      <w:bookmarkStart w:id="68" w:name="_Toc73518158"/>
      <w:r>
        <w:rPr>
          <w:rFonts w:hint="eastAsia" w:ascii="黑体" w:hAnsi="宋体" w:eastAsia="黑体"/>
          <w:sz w:val="24"/>
        </w:rPr>
        <w:t>44．</w:t>
      </w:r>
      <w:bookmarkEnd w:id="64"/>
      <w:bookmarkEnd w:id="65"/>
      <w:bookmarkEnd w:id="66"/>
      <w:bookmarkEnd w:id="67"/>
      <w:bookmarkEnd w:id="68"/>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69" w:name="_Toc73517682"/>
      <w:bookmarkStart w:id="70" w:name="_Toc100052410"/>
      <w:bookmarkStart w:id="71" w:name="_Toc73521677"/>
      <w:bookmarkStart w:id="72" w:name="_Toc73521589"/>
      <w:bookmarkStart w:id="73" w:name="_Toc73518160"/>
      <w:r>
        <w:rPr>
          <w:rFonts w:hint="eastAsia" w:ascii="黑体" w:hAnsi="宋体" w:eastAsia="黑体"/>
          <w:sz w:val="24"/>
        </w:rPr>
        <w:t>45．合同的签订</w:t>
      </w:r>
      <w:bookmarkEnd w:id="69"/>
      <w:bookmarkEnd w:id="70"/>
      <w:bookmarkEnd w:id="71"/>
      <w:bookmarkEnd w:id="72"/>
      <w:bookmarkEnd w:id="73"/>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74" w:name="_Toc73521590"/>
      <w:bookmarkStart w:id="75" w:name="_Toc100052411"/>
      <w:bookmarkStart w:id="76" w:name="_Toc73518161"/>
      <w:bookmarkStart w:id="77" w:name="_Toc73521678"/>
      <w:bookmarkStart w:id="78" w:name="_Toc73517683"/>
      <w:r>
        <w:rPr>
          <w:rFonts w:hint="eastAsia" w:ascii="黑体" w:hAnsi="宋体" w:eastAsia="黑体"/>
          <w:sz w:val="24"/>
        </w:rPr>
        <w:t>46．履约担保</w:t>
      </w:r>
      <w:bookmarkEnd w:id="74"/>
      <w:bookmarkEnd w:id="75"/>
      <w:bookmarkEnd w:id="76"/>
      <w:bookmarkEnd w:id="77"/>
      <w:bookmarkEnd w:id="78"/>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ascii="黑体" w:hAnsi="宋体" w:eastAsia="黑体"/>
          <w:sz w:val="24"/>
        </w:rPr>
      </w:pPr>
      <w:r>
        <w:rPr>
          <w:rFonts w:hint="eastAsia" w:ascii="宋体" w:hAnsi="宋体" w:eastAsia="宋体" w:cs="Times New Roman"/>
          <w:szCs w:val="21"/>
        </w:rPr>
        <w:t>采购人与中标供应商自中标通知书发出之日起10个工作日内签订政府采购合同，并按财政部门规定提交备案。</w:t>
      </w: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79" w:name="_Hlk72440769"/>
      <w:r>
        <w:rPr>
          <w:rFonts w:hint="eastAsia" w:ascii="宋体" w:hAnsi="宋体"/>
          <w:szCs w:val="21"/>
        </w:rPr>
        <w:t>政府集中采购机构或采购人不予退还其交纳的谈判保证金，情节严重的，并由主管部门</w:t>
      </w:r>
      <w:bookmarkEnd w:id="79"/>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3"/>
    <w:p>
      <w:pPr>
        <w:pStyle w:val="3"/>
        <w:numPr>
          <w:ilvl w:val="0"/>
          <w:numId w:val="4"/>
        </w:numPr>
        <w:spacing w:beforeLines="5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80" w:name="_Hlk75374941"/>
      <w:r>
        <w:rPr>
          <w:rFonts w:hint="eastAsia" w:ascii="宋体" w:hAnsi="宋体"/>
          <w:szCs w:val="21"/>
        </w:rPr>
        <w:t>以联合体形式参与的，质疑应当由组成联合体的所有成员共同提出</w:t>
      </w:r>
      <w:bookmarkEnd w:id="80"/>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hint="eastAsia" w:ascii="宋体" w:hAnsi="宋体"/>
          <w:szCs w:val="21"/>
        </w:rPr>
        <w:t>52.3.3应提交书面质疑函，质疑函应当包括以下内容：</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地址：深圳公共资源交易中心（深圳交易集团有限公司宝安分公司）一楼服务大厅，质疑咨询电话：0755-27758331。</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26"/>
    </w:p>
    <w:p>
      <w:pPr>
        <w:rPr>
          <w:b/>
          <w:color w:val="FF0000"/>
          <w:sz w:val="52"/>
          <w:szCs w:val="52"/>
        </w:rPr>
      </w:pPr>
    </w:p>
    <w:p>
      <w:pPr>
        <w:rPr>
          <w:b/>
          <w:color w:val="FF0000"/>
          <w:sz w:val="52"/>
          <w:szCs w:val="5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pPr>
          <w:pStyle w:val="12"/>
          <w:jc w:val="center"/>
        </w:pPr>
        <w:r>
          <w:fldChar w:fldCharType="begin"/>
        </w:r>
        <w:r>
          <w:instrText xml:space="preserve"> PAGE   \* MERGEFORMAT </w:instrText>
        </w:r>
        <w:r>
          <w:fldChar w:fldCharType="separate"/>
        </w:r>
        <w:r>
          <w:rPr>
            <w:lang w:val="zh-CN"/>
          </w:rPr>
          <w:t>55</w:t>
        </w:r>
        <w:r>
          <w:rPr>
            <w:lang w:val="zh-CN"/>
          </w:rPr>
          <w:fldChar w:fldCharType="end"/>
        </w:r>
      </w:p>
    </w:sdtContent>
  </w:sdt>
  <w:p>
    <w:pPr>
      <w:pStyle w:val="12"/>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4OTIxNjlhMTQwOTVmYTNhMDgwMjM1NTMwZjgxNTYifQ=="/>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119C"/>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5B08"/>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3F8"/>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35EC8"/>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14C"/>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8C5"/>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449C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220E"/>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331"/>
    <w:rsid w:val="00830E2C"/>
    <w:rsid w:val="00831A8D"/>
    <w:rsid w:val="00835FB6"/>
    <w:rsid w:val="008401DA"/>
    <w:rsid w:val="00844AC5"/>
    <w:rsid w:val="00845602"/>
    <w:rsid w:val="00846672"/>
    <w:rsid w:val="00847099"/>
    <w:rsid w:val="00853091"/>
    <w:rsid w:val="00861B0D"/>
    <w:rsid w:val="00864234"/>
    <w:rsid w:val="008642D5"/>
    <w:rsid w:val="00865A6F"/>
    <w:rsid w:val="008676EE"/>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674"/>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069"/>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12C3"/>
    <w:rsid w:val="00B94787"/>
    <w:rsid w:val="00B95FA8"/>
    <w:rsid w:val="00B96E1B"/>
    <w:rsid w:val="00B97368"/>
    <w:rsid w:val="00B97861"/>
    <w:rsid w:val="00B97CCE"/>
    <w:rsid w:val="00BA0C36"/>
    <w:rsid w:val="00BB22AB"/>
    <w:rsid w:val="00BB4B9A"/>
    <w:rsid w:val="00BB5734"/>
    <w:rsid w:val="00BB612C"/>
    <w:rsid w:val="00BB61A5"/>
    <w:rsid w:val="00BB74E8"/>
    <w:rsid w:val="00BC0AC3"/>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6B9D"/>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4DF1"/>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D7C3C"/>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00EE"/>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4356"/>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15983"/>
    <w:rsid w:val="00E21413"/>
    <w:rsid w:val="00E22D57"/>
    <w:rsid w:val="00E22EBC"/>
    <w:rsid w:val="00E251C7"/>
    <w:rsid w:val="00E278B7"/>
    <w:rsid w:val="00E27AD6"/>
    <w:rsid w:val="00E30D44"/>
    <w:rsid w:val="00E329CC"/>
    <w:rsid w:val="00E3685E"/>
    <w:rsid w:val="00E37343"/>
    <w:rsid w:val="00E45FFA"/>
    <w:rsid w:val="00E50F9B"/>
    <w:rsid w:val="00E54396"/>
    <w:rsid w:val="00E5578E"/>
    <w:rsid w:val="00E57260"/>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4F79"/>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2354"/>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5739FF"/>
    <w:rsid w:val="02581525"/>
    <w:rsid w:val="02971D9B"/>
    <w:rsid w:val="040F20B8"/>
    <w:rsid w:val="04A120E1"/>
    <w:rsid w:val="05CF5FA2"/>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F13F4"/>
    <w:rsid w:val="08381BDD"/>
    <w:rsid w:val="083D1CD8"/>
    <w:rsid w:val="087516B5"/>
    <w:rsid w:val="09A10A0F"/>
    <w:rsid w:val="0A1C72DC"/>
    <w:rsid w:val="0AC37758"/>
    <w:rsid w:val="0B154457"/>
    <w:rsid w:val="0B212DFC"/>
    <w:rsid w:val="0B3E2722"/>
    <w:rsid w:val="0B91507D"/>
    <w:rsid w:val="0BBA6DAD"/>
    <w:rsid w:val="0C27455C"/>
    <w:rsid w:val="0C610D37"/>
    <w:rsid w:val="0D0F2768"/>
    <w:rsid w:val="0D8458C4"/>
    <w:rsid w:val="0E1704E7"/>
    <w:rsid w:val="0FDD1D3C"/>
    <w:rsid w:val="102B5847"/>
    <w:rsid w:val="10B169D0"/>
    <w:rsid w:val="10B72ECD"/>
    <w:rsid w:val="10F90F82"/>
    <w:rsid w:val="111019FE"/>
    <w:rsid w:val="11627CCB"/>
    <w:rsid w:val="1283393D"/>
    <w:rsid w:val="130D3C66"/>
    <w:rsid w:val="134358DA"/>
    <w:rsid w:val="134C478E"/>
    <w:rsid w:val="13533D6F"/>
    <w:rsid w:val="13A9398F"/>
    <w:rsid w:val="13BF03CA"/>
    <w:rsid w:val="143851FF"/>
    <w:rsid w:val="148B578A"/>
    <w:rsid w:val="1510485B"/>
    <w:rsid w:val="151E215B"/>
    <w:rsid w:val="15853F88"/>
    <w:rsid w:val="16157E2D"/>
    <w:rsid w:val="16393F65"/>
    <w:rsid w:val="16866209"/>
    <w:rsid w:val="174727ED"/>
    <w:rsid w:val="17D66D1D"/>
    <w:rsid w:val="18F25DD8"/>
    <w:rsid w:val="1945415A"/>
    <w:rsid w:val="196C5B8A"/>
    <w:rsid w:val="199F50F2"/>
    <w:rsid w:val="19AC5F87"/>
    <w:rsid w:val="19CF7EC7"/>
    <w:rsid w:val="1A134258"/>
    <w:rsid w:val="1A27385F"/>
    <w:rsid w:val="1A396A26"/>
    <w:rsid w:val="1A3D3083"/>
    <w:rsid w:val="1AB75623"/>
    <w:rsid w:val="1B297ECA"/>
    <w:rsid w:val="1BA91321"/>
    <w:rsid w:val="1C422BD3"/>
    <w:rsid w:val="1C4C57FF"/>
    <w:rsid w:val="1C56667E"/>
    <w:rsid w:val="1C607754"/>
    <w:rsid w:val="1CA266AD"/>
    <w:rsid w:val="1CE27F12"/>
    <w:rsid w:val="1CF75746"/>
    <w:rsid w:val="1D686669"/>
    <w:rsid w:val="1DD82FFB"/>
    <w:rsid w:val="1E4F15D7"/>
    <w:rsid w:val="1E571888"/>
    <w:rsid w:val="1ECC7CDD"/>
    <w:rsid w:val="1EFA59E6"/>
    <w:rsid w:val="1FFB5111"/>
    <w:rsid w:val="20DB53A4"/>
    <w:rsid w:val="20E650B5"/>
    <w:rsid w:val="21AB2FC8"/>
    <w:rsid w:val="21F104B3"/>
    <w:rsid w:val="22552F34"/>
    <w:rsid w:val="22843E91"/>
    <w:rsid w:val="23256E5B"/>
    <w:rsid w:val="23A943F2"/>
    <w:rsid w:val="23BF77F9"/>
    <w:rsid w:val="242F7EE0"/>
    <w:rsid w:val="24A02B8C"/>
    <w:rsid w:val="25BF7042"/>
    <w:rsid w:val="25C26B32"/>
    <w:rsid w:val="25E8116C"/>
    <w:rsid w:val="262B0B7B"/>
    <w:rsid w:val="263E1924"/>
    <w:rsid w:val="270D0281"/>
    <w:rsid w:val="27677991"/>
    <w:rsid w:val="27EC23B7"/>
    <w:rsid w:val="28CD68E9"/>
    <w:rsid w:val="292D1901"/>
    <w:rsid w:val="2A7B2E88"/>
    <w:rsid w:val="2AAC55EE"/>
    <w:rsid w:val="2B1241D5"/>
    <w:rsid w:val="2B1E480B"/>
    <w:rsid w:val="2B3D1DC1"/>
    <w:rsid w:val="2B886128"/>
    <w:rsid w:val="2C023A0C"/>
    <w:rsid w:val="2C475F3C"/>
    <w:rsid w:val="2CEB4BC0"/>
    <w:rsid w:val="2D170DFB"/>
    <w:rsid w:val="2D6B72D5"/>
    <w:rsid w:val="2D88240F"/>
    <w:rsid w:val="2DA51213"/>
    <w:rsid w:val="2E150147"/>
    <w:rsid w:val="2E4F4001"/>
    <w:rsid w:val="2EF36F14"/>
    <w:rsid w:val="2FA17BFB"/>
    <w:rsid w:val="2FC841E5"/>
    <w:rsid w:val="2FFA56D7"/>
    <w:rsid w:val="300852DE"/>
    <w:rsid w:val="301B3177"/>
    <w:rsid w:val="303F76FD"/>
    <w:rsid w:val="31992E3D"/>
    <w:rsid w:val="31E06CBE"/>
    <w:rsid w:val="32236BAB"/>
    <w:rsid w:val="3244289A"/>
    <w:rsid w:val="32B97377"/>
    <w:rsid w:val="33941B0E"/>
    <w:rsid w:val="33C91D38"/>
    <w:rsid w:val="34291934"/>
    <w:rsid w:val="348D06FD"/>
    <w:rsid w:val="34CC177B"/>
    <w:rsid w:val="34DF325D"/>
    <w:rsid w:val="362E697F"/>
    <w:rsid w:val="362F1FC2"/>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E7B87"/>
    <w:rsid w:val="3C033730"/>
    <w:rsid w:val="3C746980"/>
    <w:rsid w:val="3D406863"/>
    <w:rsid w:val="3DDF607B"/>
    <w:rsid w:val="3E260CC7"/>
    <w:rsid w:val="3EB968CD"/>
    <w:rsid w:val="3EF8229A"/>
    <w:rsid w:val="3F446ADE"/>
    <w:rsid w:val="3F4563B2"/>
    <w:rsid w:val="40356427"/>
    <w:rsid w:val="40A35A86"/>
    <w:rsid w:val="40D93256"/>
    <w:rsid w:val="418961FE"/>
    <w:rsid w:val="41C2018E"/>
    <w:rsid w:val="42103A4A"/>
    <w:rsid w:val="42764E69"/>
    <w:rsid w:val="427D5E63"/>
    <w:rsid w:val="42D55C9F"/>
    <w:rsid w:val="434370AD"/>
    <w:rsid w:val="4416031D"/>
    <w:rsid w:val="44315157"/>
    <w:rsid w:val="44B10046"/>
    <w:rsid w:val="450811BF"/>
    <w:rsid w:val="452614AD"/>
    <w:rsid w:val="45823E47"/>
    <w:rsid w:val="46B300A5"/>
    <w:rsid w:val="46B8390E"/>
    <w:rsid w:val="471E5E67"/>
    <w:rsid w:val="47721D0E"/>
    <w:rsid w:val="47C754C6"/>
    <w:rsid w:val="47D71C0C"/>
    <w:rsid w:val="486E0FF2"/>
    <w:rsid w:val="486F44A0"/>
    <w:rsid w:val="49680B13"/>
    <w:rsid w:val="49D7054F"/>
    <w:rsid w:val="4BA12BC2"/>
    <w:rsid w:val="4C15710C"/>
    <w:rsid w:val="4C6C1422"/>
    <w:rsid w:val="4C7812B7"/>
    <w:rsid w:val="4CE2651F"/>
    <w:rsid w:val="4D0553D3"/>
    <w:rsid w:val="4D346757"/>
    <w:rsid w:val="4D3B1D7F"/>
    <w:rsid w:val="4E896D6E"/>
    <w:rsid w:val="4EDD03B5"/>
    <w:rsid w:val="50487D45"/>
    <w:rsid w:val="50F639B0"/>
    <w:rsid w:val="51121E6C"/>
    <w:rsid w:val="514C35D0"/>
    <w:rsid w:val="5176064D"/>
    <w:rsid w:val="52533F75"/>
    <w:rsid w:val="52C84ED8"/>
    <w:rsid w:val="52CA126A"/>
    <w:rsid w:val="52DB2E5E"/>
    <w:rsid w:val="530103EA"/>
    <w:rsid w:val="531445C2"/>
    <w:rsid w:val="53650979"/>
    <w:rsid w:val="53A07C03"/>
    <w:rsid w:val="54006EBD"/>
    <w:rsid w:val="540208BE"/>
    <w:rsid w:val="542425E2"/>
    <w:rsid w:val="550E3F9A"/>
    <w:rsid w:val="55766E6E"/>
    <w:rsid w:val="559B2D78"/>
    <w:rsid w:val="559B53B0"/>
    <w:rsid w:val="55B81234"/>
    <w:rsid w:val="55FE01DE"/>
    <w:rsid w:val="565F3711"/>
    <w:rsid w:val="567F7FA4"/>
    <w:rsid w:val="56951575"/>
    <w:rsid w:val="56B17AF5"/>
    <w:rsid w:val="56D7393C"/>
    <w:rsid w:val="57672F12"/>
    <w:rsid w:val="57F16C7F"/>
    <w:rsid w:val="57F95B34"/>
    <w:rsid w:val="58E10F36"/>
    <w:rsid w:val="591075D9"/>
    <w:rsid w:val="59BA5EBD"/>
    <w:rsid w:val="59CA6C37"/>
    <w:rsid w:val="59DD51A2"/>
    <w:rsid w:val="5A241C82"/>
    <w:rsid w:val="5A655703"/>
    <w:rsid w:val="5AC8016B"/>
    <w:rsid w:val="5ACD1DFE"/>
    <w:rsid w:val="5AE605F2"/>
    <w:rsid w:val="5B2D7FCE"/>
    <w:rsid w:val="5D0631CD"/>
    <w:rsid w:val="5D3445F3"/>
    <w:rsid w:val="5E4717A2"/>
    <w:rsid w:val="5E487850"/>
    <w:rsid w:val="5E4A70E9"/>
    <w:rsid w:val="5E6A778C"/>
    <w:rsid w:val="5EDB41E5"/>
    <w:rsid w:val="5F2B2A77"/>
    <w:rsid w:val="5FD35B6B"/>
    <w:rsid w:val="5FDE3F8D"/>
    <w:rsid w:val="609A4358"/>
    <w:rsid w:val="61665FE8"/>
    <w:rsid w:val="61BC56D7"/>
    <w:rsid w:val="62A3501A"/>
    <w:rsid w:val="6445282D"/>
    <w:rsid w:val="64DA7491"/>
    <w:rsid w:val="65BE5407"/>
    <w:rsid w:val="65CB6AD7"/>
    <w:rsid w:val="67065B78"/>
    <w:rsid w:val="67310E46"/>
    <w:rsid w:val="674F751F"/>
    <w:rsid w:val="675D6C23"/>
    <w:rsid w:val="67D77C40"/>
    <w:rsid w:val="67DA328C"/>
    <w:rsid w:val="68C06BF6"/>
    <w:rsid w:val="696B1E57"/>
    <w:rsid w:val="69E0280F"/>
    <w:rsid w:val="6A99742E"/>
    <w:rsid w:val="6AF405C0"/>
    <w:rsid w:val="6B555802"/>
    <w:rsid w:val="6CE013DA"/>
    <w:rsid w:val="6CF5724A"/>
    <w:rsid w:val="6E14501E"/>
    <w:rsid w:val="6E971ED7"/>
    <w:rsid w:val="6E9E415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62A72B5"/>
    <w:rsid w:val="762B1157"/>
    <w:rsid w:val="768F16E6"/>
    <w:rsid w:val="76AD7DBE"/>
    <w:rsid w:val="76EE4427"/>
    <w:rsid w:val="77183DD1"/>
    <w:rsid w:val="77F71C38"/>
    <w:rsid w:val="78AA314A"/>
    <w:rsid w:val="78C25DA2"/>
    <w:rsid w:val="78CD0CE6"/>
    <w:rsid w:val="792A3948"/>
    <w:rsid w:val="79D07A75"/>
    <w:rsid w:val="79FB4704"/>
    <w:rsid w:val="7A3A5E0C"/>
    <w:rsid w:val="7A71379F"/>
    <w:rsid w:val="7BC566B5"/>
    <w:rsid w:val="7DCB394B"/>
    <w:rsid w:val="7DCC1471"/>
    <w:rsid w:val="7E70572F"/>
    <w:rsid w:val="7E7A031E"/>
    <w:rsid w:val="7F482D79"/>
    <w:rsid w:val="7F820039"/>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0"/>
    <w:semiHidden/>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4"/>
    <w:semiHidden/>
    <w:unhideWhenUsed/>
    <w:qFormat/>
    <w:uiPriority w:val="99"/>
    <w:rPr>
      <w:sz w:val="18"/>
      <w:szCs w:val="18"/>
    </w:rPr>
  </w:style>
  <w:style w:type="paragraph" w:styleId="12">
    <w:name w:val="footer"/>
    <w:basedOn w:val="1"/>
    <w:link w:val="23"/>
    <w:unhideWhenUsed/>
    <w:qFormat/>
    <w:uiPriority w:val="99"/>
    <w:pPr>
      <w:tabs>
        <w:tab w:val="center" w:pos="4153"/>
        <w:tab w:val="right" w:pos="8306"/>
      </w:tabs>
      <w:snapToGrid w:val="0"/>
      <w:jc w:val="left"/>
    </w:pPr>
    <w:rPr>
      <w:sz w:val="18"/>
      <w:szCs w:val="18"/>
    </w:rPr>
  </w:style>
  <w:style w:type="paragraph" w:styleId="13">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5"/>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2"/>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themeColor="followedHyperlink"/>
      <w:u w:val="single"/>
    </w:rPr>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3"/>
    <w:semiHidden/>
    <w:qFormat/>
    <w:uiPriority w:val="99"/>
    <w:rPr>
      <w:sz w:val="18"/>
      <w:szCs w:val="18"/>
    </w:rPr>
  </w:style>
  <w:style w:type="character" w:customStyle="1" w:styleId="23">
    <w:name w:val="页脚 Char"/>
    <w:basedOn w:val="18"/>
    <w:link w:val="12"/>
    <w:qFormat/>
    <w:uiPriority w:val="99"/>
    <w:rPr>
      <w:sz w:val="18"/>
      <w:szCs w:val="18"/>
    </w:rPr>
  </w:style>
  <w:style w:type="character" w:customStyle="1" w:styleId="24">
    <w:name w:val="批注框文本 Char"/>
    <w:basedOn w:val="18"/>
    <w:link w:val="11"/>
    <w:semiHidden/>
    <w:qFormat/>
    <w:uiPriority w:val="99"/>
    <w:rPr>
      <w:sz w:val="18"/>
      <w:szCs w:val="18"/>
    </w:rPr>
  </w:style>
  <w:style w:type="character" w:customStyle="1" w:styleId="25">
    <w:name w:val="普通(网站) Char"/>
    <w:link w:val="14"/>
    <w:qFormat/>
    <w:uiPriority w:val="99"/>
    <w:rPr>
      <w:rFonts w:ascii="宋体" w:hAnsi="宋体"/>
      <w:sz w:val="24"/>
      <w:szCs w:val="24"/>
    </w:rPr>
  </w:style>
  <w:style w:type="character" w:customStyle="1" w:styleId="26">
    <w:name w:val="标题 1 Char"/>
    <w:basedOn w:val="18"/>
    <w:link w:val="2"/>
    <w:qFormat/>
    <w:uiPriority w:val="0"/>
    <w:rPr>
      <w:rFonts w:ascii="Arial" w:hAnsi="Arial" w:eastAsia="宋体" w:cs="Times New Roman"/>
      <w:b/>
      <w:bCs/>
      <w:kern w:val="44"/>
      <w:sz w:val="44"/>
      <w:szCs w:val="44"/>
    </w:rPr>
  </w:style>
  <w:style w:type="paragraph" w:styleId="27">
    <w:name w:val="List Paragraph"/>
    <w:basedOn w:val="1"/>
    <w:qFormat/>
    <w:uiPriority w:val="34"/>
    <w:pPr>
      <w:ind w:firstLine="420" w:firstLineChars="200"/>
    </w:pPr>
  </w:style>
  <w:style w:type="character" w:customStyle="1" w:styleId="28">
    <w:name w:val="文档结构图 Char"/>
    <w:basedOn w:val="18"/>
    <w:link w:val="7"/>
    <w:semiHidden/>
    <w:qFormat/>
    <w:uiPriority w:val="99"/>
    <w:rPr>
      <w:rFonts w:ascii="宋体" w:eastAsia="宋体"/>
      <w:sz w:val="18"/>
      <w:szCs w:val="18"/>
    </w:rPr>
  </w:style>
  <w:style w:type="character" w:customStyle="1" w:styleId="29">
    <w:name w:val="标题 2 Char"/>
    <w:basedOn w:val="18"/>
    <w:link w:val="3"/>
    <w:semiHidden/>
    <w:qFormat/>
    <w:uiPriority w:val="9"/>
    <w:rPr>
      <w:rFonts w:asciiTheme="majorHAnsi" w:hAnsiTheme="majorHAnsi" w:eastAsiaTheme="majorEastAsia" w:cstheme="majorBidi"/>
      <w:b/>
      <w:bCs/>
      <w:sz w:val="32"/>
      <w:szCs w:val="32"/>
    </w:rPr>
  </w:style>
  <w:style w:type="character" w:customStyle="1" w:styleId="30">
    <w:name w:val="批注文字 Char"/>
    <w:basedOn w:val="18"/>
    <w:link w:val="8"/>
    <w:semiHidden/>
    <w:qFormat/>
    <w:uiPriority w:val="99"/>
  </w:style>
  <w:style w:type="character" w:customStyle="1" w:styleId="31">
    <w:name w:val="标题 3 Char"/>
    <w:qFormat/>
    <w:uiPriority w:val="0"/>
    <w:rPr>
      <w:rFonts w:ascii="黑体" w:eastAsia="黑体"/>
      <w:bCs/>
      <w:sz w:val="30"/>
    </w:rPr>
  </w:style>
  <w:style w:type="character" w:customStyle="1" w:styleId="32">
    <w:name w:val="批注主题 Char"/>
    <w:basedOn w:val="30"/>
    <w:link w:val="15"/>
    <w:semiHidden/>
    <w:qFormat/>
    <w:uiPriority w:val="99"/>
    <w:rPr>
      <w:b/>
      <w:bCs/>
      <w:kern w:val="2"/>
      <w:sz w:val="21"/>
      <w:szCs w:val="22"/>
    </w:rPr>
  </w:style>
  <w:style w:type="table" w:customStyle="1" w:styleId="33">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6796</Words>
  <Characters>38743</Characters>
  <Lines>322</Lines>
  <Paragraphs>90</Paragraphs>
  <TotalTime>56</TotalTime>
  <ScaleCrop>false</ScaleCrop>
  <LinksUpToDate>false</LinksUpToDate>
  <CharactersWithSpaces>45449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210ZCPB</cp:lastModifiedBy>
  <cp:lastPrinted>2021-01-15T01:17:00Z</cp:lastPrinted>
  <dcterms:modified xsi:type="dcterms:W3CDTF">2024-05-09T03:42:17Z</dcterms:modified>
  <cp:revision>730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CFE91CA4ECE649769A50C56CCE24D2C7</vt:lpwstr>
  </property>
</Properties>
</file>